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80" w:rsidRPr="00D06280" w:rsidRDefault="00D06280" w:rsidP="00D06280">
      <w:pPr>
        <w:tabs>
          <w:tab w:val="left" w:pos="3969"/>
        </w:tabs>
        <w:ind w:left="2608" w:firstLine="1078"/>
        <w:rPr>
          <w:b/>
          <w:noProof/>
          <w:sz w:val="24"/>
          <w:szCs w:val="24"/>
        </w:rPr>
      </w:pPr>
      <w:r>
        <w:rPr>
          <w:b/>
          <w:noProof/>
          <w:sz w:val="24"/>
          <w:szCs w:val="24"/>
        </w:rPr>
        <w:tab/>
      </w:r>
      <w:r w:rsidRPr="00D06280">
        <w:rPr>
          <w:b/>
          <w:noProof/>
          <w:sz w:val="24"/>
          <w:szCs w:val="24"/>
        </w:rPr>
        <w:t xml:space="preserve">REMISSVAR </w:t>
      </w:r>
      <w:r w:rsidRPr="00D06280">
        <w:rPr>
          <w:b/>
          <w:noProof/>
          <w:sz w:val="24"/>
          <w:szCs w:val="24"/>
        </w:rPr>
        <w:tab/>
        <w:t>Dnr 132/2019</w:t>
      </w:r>
      <w:r w:rsidR="005944DB" w:rsidRPr="00D06280">
        <w:rPr>
          <w:b/>
          <w:noProof/>
          <w:sz w:val="24"/>
          <w:szCs w:val="24"/>
        </w:rPr>
        <w:tab/>
      </w:r>
    </w:p>
    <w:p w:rsidR="00D06280" w:rsidRDefault="00D06280" w:rsidP="005944DB">
      <w:pPr>
        <w:tabs>
          <w:tab w:val="left" w:pos="3969"/>
        </w:tabs>
        <w:rPr>
          <w:b/>
          <w:noProof/>
          <w:szCs w:val="24"/>
        </w:rPr>
      </w:pPr>
    </w:p>
    <w:p w:rsidR="005944DB" w:rsidRPr="00CC1F71" w:rsidRDefault="00D06280" w:rsidP="00D06280">
      <w:pPr>
        <w:tabs>
          <w:tab w:val="left" w:pos="3969"/>
          <w:tab w:val="left" w:pos="4111"/>
        </w:tabs>
        <w:rPr>
          <w:b/>
          <w:noProof/>
          <w:szCs w:val="24"/>
        </w:rPr>
      </w:pPr>
      <w:r>
        <w:rPr>
          <w:b/>
          <w:noProof/>
          <w:szCs w:val="24"/>
        </w:rPr>
        <w:tab/>
      </w:r>
      <w:r w:rsidR="005944DB" w:rsidRPr="00CC1F71">
        <w:rPr>
          <w:b/>
          <w:noProof/>
          <w:szCs w:val="24"/>
        </w:rPr>
        <w:t>2019-</w:t>
      </w:r>
      <w:r w:rsidR="005944DB">
        <w:rPr>
          <w:b/>
          <w:noProof/>
          <w:szCs w:val="24"/>
        </w:rPr>
        <w:t>11</w:t>
      </w:r>
      <w:r w:rsidR="005944DB" w:rsidRPr="00CC1F71">
        <w:rPr>
          <w:b/>
          <w:noProof/>
          <w:szCs w:val="24"/>
        </w:rPr>
        <w:t>-</w:t>
      </w:r>
      <w:r w:rsidR="005944DB">
        <w:rPr>
          <w:b/>
          <w:noProof/>
          <w:szCs w:val="24"/>
        </w:rPr>
        <w:t>28</w:t>
      </w:r>
    </w:p>
    <w:p w:rsidR="005944DB" w:rsidRPr="00CC1F71" w:rsidRDefault="005944DB" w:rsidP="005944DB">
      <w:pPr>
        <w:tabs>
          <w:tab w:val="left" w:pos="4536"/>
        </w:tabs>
        <w:rPr>
          <w:noProof/>
          <w:szCs w:val="24"/>
        </w:rPr>
      </w:pPr>
    </w:p>
    <w:p w:rsidR="005944DB" w:rsidRPr="00D06280" w:rsidRDefault="005944DB" w:rsidP="005944DB">
      <w:pPr>
        <w:tabs>
          <w:tab w:val="left" w:pos="3969"/>
          <w:tab w:val="left" w:pos="4536"/>
        </w:tabs>
        <w:rPr>
          <w:noProof/>
          <w:szCs w:val="24"/>
        </w:rPr>
      </w:pPr>
      <w:r w:rsidRPr="00D06280">
        <w:rPr>
          <w:noProof/>
          <w:szCs w:val="24"/>
        </w:rPr>
        <w:t>Kontaktperson</w:t>
      </w:r>
      <w:r w:rsidRPr="00D06280">
        <w:rPr>
          <w:noProof/>
          <w:szCs w:val="24"/>
        </w:rPr>
        <w:tab/>
        <w:t>Social</w:t>
      </w:r>
      <w:r w:rsidRPr="00D06280">
        <w:rPr>
          <w:noProof/>
          <w:szCs w:val="24"/>
        </w:rPr>
        <w:t>departementet</w:t>
      </w:r>
    </w:p>
    <w:p w:rsidR="005944DB" w:rsidRPr="00D06280" w:rsidRDefault="005944DB" w:rsidP="005944DB">
      <w:pPr>
        <w:tabs>
          <w:tab w:val="left" w:pos="3969"/>
        </w:tabs>
        <w:rPr>
          <w:noProof/>
          <w:szCs w:val="24"/>
        </w:rPr>
      </w:pPr>
      <w:r w:rsidRPr="00D06280">
        <w:rPr>
          <w:noProof/>
          <w:szCs w:val="24"/>
        </w:rPr>
        <w:t>Mikael Ståhl</w:t>
      </w:r>
      <w:r w:rsidRPr="00D06280">
        <w:rPr>
          <w:noProof/>
          <w:szCs w:val="24"/>
        </w:rPr>
        <w:tab/>
        <w:t>103 33 STOCKHOLM</w:t>
      </w:r>
      <w:r w:rsidRPr="00D06280">
        <w:rPr>
          <w:noProof/>
          <w:szCs w:val="24"/>
        </w:rPr>
        <w:br/>
        <w:t>Telefon 08-39 9</w:t>
      </w:r>
      <w:r w:rsidRPr="00D06280">
        <w:rPr>
          <w:noProof/>
          <w:szCs w:val="24"/>
        </w:rPr>
        <w:t>2 91</w:t>
      </w:r>
      <w:r w:rsidRPr="00D06280">
        <w:rPr>
          <w:noProof/>
          <w:szCs w:val="24"/>
        </w:rPr>
        <w:tab/>
      </w:r>
      <w:r w:rsidRPr="00D06280">
        <w:rPr>
          <w:noProof/>
          <w:szCs w:val="24"/>
        </w:rPr>
        <w:t>s.remissvar@regeringskansliet.se</w:t>
      </w:r>
    </w:p>
    <w:p w:rsidR="005944DB" w:rsidRPr="00D06280" w:rsidRDefault="005944DB" w:rsidP="00D06280">
      <w:pPr>
        <w:tabs>
          <w:tab w:val="left" w:pos="3969"/>
        </w:tabs>
        <w:rPr>
          <w:noProof/>
          <w:szCs w:val="24"/>
        </w:rPr>
      </w:pPr>
      <w:r w:rsidRPr="00D06280">
        <w:rPr>
          <w:noProof/>
          <w:szCs w:val="24"/>
        </w:rPr>
        <w:t>mikael.stahl</w:t>
      </w:r>
      <w:r w:rsidRPr="00D06280">
        <w:rPr>
          <w:noProof/>
          <w:szCs w:val="24"/>
        </w:rPr>
        <w:t xml:space="preserve">@srf.nu </w:t>
      </w:r>
      <w:r w:rsidRPr="00D06280">
        <w:rPr>
          <w:rFonts w:cs="Arial"/>
          <w:sz w:val="32"/>
        </w:rPr>
        <w:tab/>
      </w:r>
      <w:r w:rsidRPr="00D06280">
        <w:rPr>
          <w:rFonts w:cs="Arial"/>
        </w:rPr>
        <w:t>s.fst@regeringskansliet.se</w:t>
      </w:r>
    </w:p>
    <w:p w:rsidR="005944DB" w:rsidRDefault="005944DB" w:rsidP="005944DB">
      <w:pPr>
        <w:pStyle w:val="Rubrik1"/>
      </w:pPr>
      <w:r>
        <w:t>Remiss</w:t>
      </w:r>
      <w:r>
        <w:t>var:</w:t>
      </w:r>
      <w:r>
        <w:t xml:space="preserve"> </w:t>
      </w:r>
      <w:r>
        <w:t>Styrkraft i funktionshinders-politiken</w:t>
      </w:r>
      <w:r w:rsidR="00D06280">
        <w:t xml:space="preserve">, </w:t>
      </w:r>
      <w:r>
        <w:t>SOU 2019:</w:t>
      </w:r>
      <w:r>
        <w:t>23</w:t>
      </w:r>
      <w:r w:rsidR="00D06280">
        <w:t>, dnr S2019/02213/FST</w:t>
      </w:r>
    </w:p>
    <w:p w:rsidR="005944DB" w:rsidRDefault="005944DB" w:rsidP="005944DB"/>
    <w:p w:rsidR="005944DB" w:rsidRDefault="005944DB" w:rsidP="005944DB">
      <w:r>
        <w:t>Synskadades Riksförbund, SRF, är landets främsta företrädare för personer med synnedsättning. Vi lämnar härmed följande remissvar på utredningen om styrkraft i funktionshinderpolitiken.</w:t>
      </w:r>
    </w:p>
    <w:p w:rsidR="005944DB" w:rsidRDefault="005944DB" w:rsidP="005944DB"/>
    <w:p w:rsidR="005944DB" w:rsidRDefault="005944DB" w:rsidP="005944DB">
      <w:pPr>
        <w:rPr>
          <w:b/>
        </w:rPr>
      </w:pPr>
      <w:r w:rsidRPr="000F563B">
        <w:rPr>
          <w:b/>
        </w:rPr>
        <w:t xml:space="preserve">Sammanfattning </w:t>
      </w:r>
    </w:p>
    <w:p w:rsidR="000F563B" w:rsidRPr="000F563B" w:rsidRDefault="000F563B" w:rsidP="005944DB">
      <w:pPr>
        <w:rPr>
          <w:b/>
        </w:rPr>
      </w:pPr>
    </w:p>
    <w:p w:rsidR="005944DB" w:rsidRDefault="005944DB" w:rsidP="005944DB">
      <w:r>
        <w:t>A</w:t>
      </w:r>
      <w:r w:rsidRPr="002612DE">
        <w:t xml:space="preserve">tt göra rätt från början är en förutsättning för ett tillgängligt samhälle. </w:t>
      </w:r>
      <w:r>
        <w:t xml:space="preserve">Tydligare styrning och starkare sanktionsmöjligheter är nödvändigt för att fler ska göra rätt. Vi efterlyser såväl stimulansbidrag för att påskynda utvecklingen och sanktionsmöjligheter om inget händer. En funktionshinderpolitik som </w:t>
      </w:r>
      <w:r w:rsidRPr="002612DE">
        <w:t xml:space="preserve">integreras </w:t>
      </w:r>
      <w:r>
        <w:t xml:space="preserve">i övriga politikområden och som gäller alla </w:t>
      </w:r>
      <w:r w:rsidRPr="002612DE">
        <w:t>nivåer och områden i samhället</w:t>
      </w:r>
      <w:r>
        <w:t xml:space="preserve"> är avgörande för att Sverige ska leva upp till kraven i FN-konventionen om rättigheter för personer med funktionsnedsättning (CRPD) och målen i Agenda 2030.</w:t>
      </w:r>
    </w:p>
    <w:p w:rsidR="005944DB" w:rsidRDefault="005944DB" w:rsidP="005944DB"/>
    <w:p w:rsidR="005944DB" w:rsidRDefault="005944DB" w:rsidP="005944DB">
      <w:r>
        <w:t>Synskadades Riksförbund ser behov av insatser och förändringar på en rad områden. För synskadade behöver såväl regionernas habilitering- och rehabiliteringsverksamheter som den arbetslivsinriktade rehabiliteringen effektiviseras. Detta gäller särskilt för gravt synskadade och blinda. Det behövs också förändringar när det gäller kommunernas ansvar när det gäller stöd och service.</w:t>
      </w:r>
    </w:p>
    <w:p w:rsidR="005944DB" w:rsidRDefault="005944DB" w:rsidP="005944DB"/>
    <w:p w:rsidR="005944DB" w:rsidRDefault="005944DB" w:rsidP="005944DB">
      <w:r>
        <w:lastRenderedPageBreak/>
        <w:t>Vi ser också behov av en insatsstyrka som tar fram en strategi med koppling till en handlingsplan, som kan revideras när Sverige får rekommendationer från FN. Denna ska utvecklas tillsammans med funktionshinderrörelsen.</w:t>
      </w:r>
    </w:p>
    <w:p w:rsidR="005944DB" w:rsidRDefault="005944DB" w:rsidP="005944DB"/>
    <w:p w:rsidR="005944DB" w:rsidRDefault="005944DB" w:rsidP="005944DB">
      <w:r>
        <w:t>Vi avslår förslaget om prioriterade områden i förordningen 2001:526. Det skulle begränsa förutsättningar att genomföra hela CRPD och leder till dubbelreglering. På kort sikt ska myndigheter styras genom instruktioner, regleringsbrev och uppdrag. Tvärsektoriella skyldigheter behöver förstärkas i förordningen. Förtydliganden krävs också angående funktionshinderrörelsens rätt till aktiv involvering i beslut och övervakning, i enlighet med den allmänna kommentaren</w:t>
      </w:r>
      <w:r>
        <w:t xml:space="preserve"> </w:t>
      </w:r>
      <w:r>
        <w:t xml:space="preserve">7 om artikel 4.3 och 33.3. Ansvars- och finansieringsprincipen behöver utredas och förtydligas i förhållande till kommunernas finansieringsprincip. </w:t>
      </w:r>
    </w:p>
    <w:p w:rsidR="005944DB" w:rsidRDefault="005944DB" w:rsidP="005944DB"/>
    <w:p w:rsidR="005944DB" w:rsidRDefault="005944DB" w:rsidP="005944DB">
      <w:r>
        <w:t xml:space="preserve">Vi föreslår att prioriteringar kopplas närmare Agenda 2030 och medborgerliga och politiska rättigheter. Vi yrkar på att ansvar och samordning för funktionshinderpolitiken samlas under ministern med ansvar för mänskliga rättigheter och att övervakningen av CRPD förstärks. </w:t>
      </w:r>
    </w:p>
    <w:p w:rsidR="005944DB" w:rsidRDefault="005944DB" w:rsidP="005944DB"/>
    <w:p w:rsidR="005944DB" w:rsidRPr="000F563B" w:rsidRDefault="005944DB" w:rsidP="005944DB">
      <w:pPr>
        <w:rPr>
          <w:b/>
        </w:rPr>
      </w:pPr>
      <w:r w:rsidRPr="000F563B">
        <w:rPr>
          <w:b/>
        </w:rPr>
        <w:t xml:space="preserve">Inledning </w:t>
      </w:r>
    </w:p>
    <w:p w:rsidR="000F563B" w:rsidRPr="00887D30" w:rsidRDefault="000F563B" w:rsidP="005944DB">
      <w:pPr>
        <w:rPr>
          <w:b/>
          <w:sz w:val="32"/>
        </w:rPr>
      </w:pPr>
    </w:p>
    <w:p w:rsidR="005944DB" w:rsidRDefault="005944DB" w:rsidP="005944DB">
      <w:r>
        <w:t>Synskadades Riksförbund arbetar för ett jämställt samhälle fritt från diskriminering, där alla omfattas av de mänskliga rättigheterna. För vår</w:t>
      </w:r>
      <w:r w:rsidR="00887D30">
        <w:t>a</w:t>
      </w:r>
      <w:r>
        <w:t xml:space="preserve"> medlemsgruppbarn, ungdomar och vuxna som är blinda eller har en synnedsättning, finns det många exempel på att Sverige ännu inte är ett samhälle där alla har samma rättigheter och möjligheter, där alla inte upplever samma nivå av delaktighet och jämlikhet. Några exempel på detta är:</w:t>
      </w:r>
    </w:p>
    <w:p w:rsidR="005944DB" w:rsidRDefault="005944DB" w:rsidP="005944DB"/>
    <w:p w:rsidR="005944DB" w:rsidRDefault="005944DB" w:rsidP="005944DB">
      <w:r>
        <w:t>* Att elever och studenter med synnedsättning och/eller andra funktionsnedsättningar inte har samma möjlighet att välja skola eller att tillgodogöra sig utbildning och livslångt lärande på jämlika villkor med andra.</w:t>
      </w:r>
    </w:p>
    <w:p w:rsidR="005944DB" w:rsidRDefault="005944DB" w:rsidP="005944DB">
      <w:r>
        <w:t>* Att mindre än 50 procent av SRF:s medlemmar i arbetsför ålder har ett förvärvsarbete på öppna arbetsmarknaden och därmed inte åtnjuter samma möjlighet till arbete och försörjning.</w:t>
      </w:r>
    </w:p>
    <w:p w:rsidR="005944DB" w:rsidRDefault="005944DB" w:rsidP="005944DB">
      <w:r>
        <w:lastRenderedPageBreak/>
        <w:t>* Att personer utan syn inte, med bibehållen valhemlighet, kan delta i allmänna val på jämlika villkor som den som ser.</w:t>
      </w:r>
      <w:r>
        <w:tab/>
      </w:r>
    </w:p>
    <w:p w:rsidR="005944DB" w:rsidRDefault="005944DB" w:rsidP="005944DB">
      <w:r>
        <w:t>* Att nästan var tredje medlem i SRF någon gång under det senaste året har upplevt sig diskriminerad på grund av sin funktionsnedsättning.</w:t>
      </w:r>
    </w:p>
    <w:p w:rsidR="005944DB" w:rsidRDefault="005944DB" w:rsidP="005944DB"/>
    <w:p w:rsidR="005944DB" w:rsidRDefault="005944DB" w:rsidP="005944DB">
      <w:r>
        <w:t xml:space="preserve">För att åstadkomma förändring på dessa och andra områden behöver Sverige en effektivare och mer förbättringsinriktad funktionshinderpolitik. Trots alla internationella konventioner och målsättningar som Sverige ställt sig bakom finns tydliga luckor i svensk lagstiftning på det funktionshinderpolitiska området. </w:t>
      </w:r>
    </w:p>
    <w:p w:rsidR="005944DB" w:rsidRDefault="005944DB" w:rsidP="005944DB"/>
    <w:p w:rsidR="005944DB" w:rsidRDefault="005944DB" w:rsidP="005944DB">
      <w:r>
        <w:t>Funktionshinderpolitiken måste också på ett tydligare sätt gälla hela samhället – även för kommuner och regioner. Det finns idag stora brister i hur kommunerna tillämpar befintlig lagstiftning. Det görs neddragningar och inskränkningar av det stöd som finns. Utvecklingen går i motsatt riktning mot de intentioner som CRPD och agendan slår fast. Regionerna tar inte fullt ansvar för gravt synskadades och blindas rehabilitering, vilket leder till stora och oacceptabla svårigheter för dem som blir synskadade i vuxen ålder.</w:t>
      </w:r>
    </w:p>
    <w:p w:rsidR="005944DB" w:rsidRDefault="005944DB" w:rsidP="005944DB"/>
    <w:p w:rsidR="005944DB" w:rsidRDefault="005944DB" w:rsidP="005944DB">
      <w:r>
        <w:t xml:space="preserve">Tyvärr saknar utredningens betänkande tillräckligt skarpa förslag för att Sverige ska leva upp till åtagandena i CRPD och Agenda 2030. Det saknas i hög grad lärdomar både från det som inte har fungerat inom funktionshinderpolitiken och det som fungerat inom andra politikområden där styrningen gett bättre resultat. </w:t>
      </w:r>
    </w:p>
    <w:p w:rsidR="005944DB" w:rsidRDefault="005944DB" w:rsidP="005944DB"/>
    <w:p w:rsidR="005944DB" w:rsidRDefault="005944DB" w:rsidP="005944DB">
      <w:r>
        <w:t>Om Sverige menar allvar med att "Ingen ska lämnas utanför" måste funktionshinderpolitiken styras utifrån en ambition som är minst lika uttalad och förankrad som miljö- och jämställdhetspolitiken. Grunden måste vara en kvalitativt högtstående habilitering och rehabilitering för alla synskadade.</w:t>
      </w:r>
    </w:p>
    <w:p w:rsidR="005944DB" w:rsidRDefault="005944DB" w:rsidP="005944DB"/>
    <w:p w:rsidR="003706B0" w:rsidRDefault="003706B0">
      <w:pPr>
        <w:spacing w:after="160" w:line="259" w:lineRule="auto"/>
        <w:rPr>
          <w:b/>
          <w:sz w:val="32"/>
        </w:rPr>
      </w:pPr>
      <w:r>
        <w:rPr>
          <w:b/>
          <w:sz w:val="32"/>
        </w:rPr>
        <w:br w:type="page"/>
      </w:r>
    </w:p>
    <w:p w:rsidR="005944DB" w:rsidRPr="003706B0" w:rsidRDefault="005944DB" w:rsidP="005944DB">
      <w:pPr>
        <w:rPr>
          <w:b/>
          <w:sz w:val="32"/>
        </w:rPr>
      </w:pPr>
      <w:r w:rsidRPr="003706B0">
        <w:rPr>
          <w:b/>
          <w:sz w:val="32"/>
        </w:rPr>
        <w:lastRenderedPageBreak/>
        <w:t>Synpunkter på utvalda delar av utredningens betänkande</w:t>
      </w:r>
    </w:p>
    <w:p w:rsidR="005944DB" w:rsidRDefault="005944DB" w:rsidP="005944DB"/>
    <w:p w:rsidR="005944DB" w:rsidRDefault="000F563B" w:rsidP="005944DB">
      <w:pPr>
        <w:rPr>
          <w:b/>
        </w:rPr>
      </w:pPr>
      <w:r w:rsidRPr="000F563B">
        <w:rPr>
          <w:b/>
        </w:rPr>
        <w:t xml:space="preserve">5 </w:t>
      </w:r>
      <w:r w:rsidR="005944DB" w:rsidRPr="000F563B">
        <w:rPr>
          <w:b/>
        </w:rPr>
        <w:t xml:space="preserve">Att göra rätt från början — universell utformning </w:t>
      </w:r>
    </w:p>
    <w:p w:rsidR="000F563B" w:rsidRPr="000F563B" w:rsidRDefault="000F563B" w:rsidP="005944DB">
      <w:pPr>
        <w:rPr>
          <w:b/>
        </w:rPr>
      </w:pPr>
    </w:p>
    <w:p w:rsidR="005944DB" w:rsidRDefault="005944DB" w:rsidP="005944DB">
      <w:r>
        <w:t>Synskadades Riksförbund tillstyrker att universell utformning är vägledande, men med förtydligandet att</w:t>
      </w:r>
    </w:p>
    <w:p w:rsidR="005944DB" w:rsidRDefault="005944DB" w:rsidP="005944DB">
      <w:r>
        <w:t>strategi, uppdrag och forskningsfinansiering tas fram med utgångspunkt i CRPD och den europeiska processtandarden Tillgänglighet genom universell utformning, EN17161. Gravt synskadade och blinda får inte åsidosättas för att vi är en relativt liten grupp.</w:t>
      </w:r>
    </w:p>
    <w:p w:rsidR="005944DB" w:rsidRDefault="005944DB" w:rsidP="005944DB">
      <w:r>
        <w:t xml:space="preserve"> </w:t>
      </w:r>
    </w:p>
    <w:p w:rsidR="005944DB" w:rsidRDefault="005944DB" w:rsidP="005944DB">
      <w:r>
        <w:t xml:space="preserve">Universell utformning kan ses som en process för att — i enlighet med Agenda 2030 — ingen ska lämnas utanför. Människor som riskerar att hamna efter, eller inte kommer till tals, ska prioriteras först. Offentliga medel ska användas till inkludering, aldrig till att exkludera. </w:t>
      </w:r>
    </w:p>
    <w:p w:rsidR="005944DB" w:rsidRDefault="005944DB" w:rsidP="005944DB"/>
    <w:p w:rsidR="005944DB" w:rsidRDefault="005944DB" w:rsidP="005944DB">
      <w:r>
        <w:t xml:space="preserve">Standarden EN17161 är framtagen på uppdrag av EU-kommissionen. Den förklarar begrepp och arbetssätt med utgångspunkt i CRPD, hållbar utveckling, design och kvalitetsledningssystem. Vi föreslår att den används som grund för gemensam förståelse för begreppet och systematiskt arbete i organisationer. En fördel är att den kompletterar ledningssystem för hållbar utveckling, IS014001, som används inom bland annat upphandling. Detta skapar en utgångspunkt som härstammar från CRPD och förklarar att rätten till tillgång (right to access) innebär tillgång till, men även att förstå och använda miljöer, produkter och tjänster behövs för att tillämpa universell utformning för allt nytt som erbjuds allmänheten. Befintliga hinder ska tas bort systematiskt genom att ta fram och tillämpa tillgänglighetsstandarder och upprätta tidsbestämd handlingsplan. </w:t>
      </w:r>
    </w:p>
    <w:p w:rsidR="005944DB" w:rsidRDefault="005944DB" w:rsidP="005944DB"/>
    <w:p w:rsidR="005944DB" w:rsidRDefault="005944DB" w:rsidP="005944DB">
      <w:r>
        <w:t>Individer har rätt till skäliga anpassningsåtgärder i en specifik kontext (utöver generell tillgänglighet), med skydd, utan undantag. i diskrimineringslagen. Individer har också</w:t>
      </w:r>
    </w:p>
    <w:p w:rsidR="005944DB" w:rsidRDefault="005944DB" w:rsidP="005944DB">
      <w:r>
        <w:t xml:space="preserve">rätt till särskilda åtgärder, det som kan kopplas till inriktningen för politiken om individuellt stöd som krävs för självbestämmande. </w:t>
      </w:r>
    </w:p>
    <w:p w:rsidR="005944DB" w:rsidRDefault="005944DB" w:rsidP="005944DB">
      <w:r>
        <w:lastRenderedPageBreak/>
        <w:t xml:space="preserve">Utredningen har inte levererat beskrivning av tillämpningen av universell utformning och förslag på användning inom offentlig och privat sektor som efterfrågades i direktiven. Förklaringen av begreppet i betänkandet bidrar till tolkningsproblem och överensstämmer inte med CRPD. Problemen kan avhjälpas genom att utveckla tillämpning som utgår från standarden EN17161. </w:t>
      </w:r>
    </w:p>
    <w:p w:rsidR="005944DB" w:rsidRDefault="005944DB" w:rsidP="005944DB"/>
    <w:p w:rsidR="005944DB" w:rsidRPr="000F563B" w:rsidRDefault="000F563B" w:rsidP="005944DB">
      <w:pPr>
        <w:rPr>
          <w:b/>
        </w:rPr>
      </w:pPr>
      <w:r w:rsidRPr="000F563B">
        <w:rPr>
          <w:b/>
        </w:rPr>
        <w:t xml:space="preserve">6 </w:t>
      </w:r>
      <w:r w:rsidR="005944DB" w:rsidRPr="000F563B">
        <w:rPr>
          <w:b/>
        </w:rPr>
        <w:t xml:space="preserve">En god grund för styrning och uppföljning </w:t>
      </w:r>
    </w:p>
    <w:p w:rsidR="005944DB" w:rsidRDefault="005944DB" w:rsidP="005944DB">
      <w:r>
        <w:t xml:space="preserve">Synskadades Riksförbund instämmer i bedömningen om behovet av tydligt politiskt ansvar, ökad kunskap och att svensk lagstiftning behöver ses över. Det ingår som en del av regeringens åtagande men det räcker inte. Vi avslår stora delar av ändringsförslagen i förordningen 2001:526. Vi anser att det krävs mer underlag och analys av ansvars- och finansieringsprincipen. </w:t>
      </w:r>
    </w:p>
    <w:p w:rsidR="005944DB" w:rsidRDefault="005944DB" w:rsidP="005944DB"/>
    <w:p w:rsidR="005944DB" w:rsidRDefault="005944DB" w:rsidP="005944DB">
      <w:r>
        <w:t>Det måste finnas en strategi och en handlingsplan för en funktionshinderpolitik som gäller över hela landet med motsvarande resurser som för andra rättighetsområden. Strategin ska följas upp genom indikatorer som utvecklas i enlighet med CRPD och relevanta globala mål i Agenda 2030. Handlingsplanen ska revideras med åtgärder för att följa de rekommendationer som FN ger. Här behövs också stimulansbidrag och sanktionsmöjligheter som ytterligare drivkrafter för en positiv utveckling.</w:t>
      </w:r>
    </w:p>
    <w:p w:rsidR="005944DB" w:rsidRDefault="005944DB" w:rsidP="005944DB"/>
    <w:p w:rsidR="005944DB" w:rsidRDefault="005944DB" w:rsidP="005944DB">
      <w:r>
        <w:t xml:space="preserve">Organisationer som företräder personer med funktionsnedsättning ska aktivt involveras i beslut och övervakning i såväl regeringskansliet som i regioner och i kommuner, i enlighet med den allmänna kommentaren 7 och </w:t>
      </w:r>
      <w:proofErr w:type="spellStart"/>
      <w:proofErr w:type="gramStart"/>
      <w:r>
        <w:t>CRPDs</w:t>
      </w:r>
      <w:proofErr w:type="spellEnd"/>
      <w:proofErr w:type="gramEnd"/>
      <w:r>
        <w:t xml:space="preserve"> artiklar 4.3 och 33.3. Synskadades Riksförbund, SRF, är den organisation som företräder synskadade i Sverige, och måste i detta sammanhang beredas möjlighet att delta på såväl nationell nivå som i regioner och kommuner. </w:t>
      </w:r>
    </w:p>
    <w:p w:rsidR="005944DB" w:rsidRDefault="005944DB" w:rsidP="005944DB"/>
    <w:p w:rsidR="005944DB" w:rsidRDefault="005944DB" w:rsidP="005944DB">
      <w:r>
        <w:t xml:space="preserve">Ansvars- och finansieringsprincipen är inte tillräckligt förankrad, analyserad och utvecklad utifrån innehållet i CRPD4. Den behöver också sättas i relation till kommunernas finansieringsprincip. Så </w:t>
      </w:r>
      <w:r>
        <w:lastRenderedPageBreak/>
        <w:t>vitt vi vet har ingen granskning gjorts av ansvars- och finansieringsprincipen. Riksrevisionen har</w:t>
      </w:r>
    </w:p>
    <w:p w:rsidR="005944DB" w:rsidRDefault="005944DB" w:rsidP="005944DB">
      <w:r>
        <w:t xml:space="preserve">gjort en granskning av finansieringsprincipen men helt utan hänsyn till rättigheter och FN-kritik om olikheter över landet. </w:t>
      </w:r>
    </w:p>
    <w:p w:rsidR="005944DB" w:rsidRDefault="005944DB" w:rsidP="005944DB"/>
    <w:p w:rsidR="005944DB" w:rsidRDefault="005152D6" w:rsidP="005944DB">
      <w:r>
        <w:t>D</w:t>
      </w:r>
      <w:r w:rsidR="005944DB">
        <w:t>et behövs konsekvensutredningar på det funktionshinderpolitiska området på motsvarande sätt som det finns miljökonsekvensutredningar. Flera oberoende utredare har lyft fram konsekvenser, till exempel Dan Andersson i Dörrarna stängs innan alla har fått plats och Ingvar Nilsson i Utanförskapets pris. Vissa kommuner arbetar med sociala investeringsfonder men det helhetsgrepp som</w:t>
      </w:r>
      <w:r w:rsidR="00507A23">
        <w:t xml:space="preserve"> </w:t>
      </w:r>
      <w:r w:rsidR="005944DB">
        <w:t xml:space="preserve">riksdagen krävt i tillkännagivande saknas. </w:t>
      </w:r>
    </w:p>
    <w:p w:rsidR="005944DB" w:rsidRDefault="005944DB" w:rsidP="005944DB"/>
    <w:p w:rsidR="005944DB" w:rsidRDefault="005944DB" w:rsidP="005944DB">
      <w:r>
        <w:t>Rättighetsperspektiv måste säkerställas i nya utredningar och lagstiftning. Ändringar av kommittéförordningen och konsekvensutredning behöver skyndsamt</w:t>
      </w:r>
      <w:r w:rsidR="00507A23">
        <w:t xml:space="preserve"> </w:t>
      </w:r>
      <w:r>
        <w:t xml:space="preserve">genomföras. </w:t>
      </w:r>
    </w:p>
    <w:p w:rsidR="005944DB" w:rsidRDefault="005944DB" w:rsidP="005944DB"/>
    <w:p w:rsidR="005944DB" w:rsidRDefault="005944DB" w:rsidP="005944DB">
      <w:r>
        <w:t xml:space="preserve">Regeringen har ansvar för att se över lagstiftning. En stark institution för mänskliga rättigheter krävs i artikel 33.2 i CRPD. Den är avgörande för att övervaka genomförandet, men ska vara helt oberoende - inte ta över regeringens ansvar. Det måste också finnas resurser till att stärka funktionshinderorganisationers förutsättningar att vara aktivt involverade i beslut och övervakning. </w:t>
      </w:r>
    </w:p>
    <w:p w:rsidR="005944DB" w:rsidRDefault="005944DB" w:rsidP="005944DB"/>
    <w:p w:rsidR="005944DB" w:rsidRDefault="005944DB" w:rsidP="005944DB">
      <w:r>
        <w:t>CRPD kräver att rättighetsbärare kan utkräva rättigheter och att skyldighetsbärare kan fullgöra åtaganden. Vissa förändringar i (2001:526) om de statliga myndigheternas ansvar för genomförande av funktionshinderpolitiken och samverkan i nätverk räcker inte. Inga förslag lämnas, endast "bedömningar"</w:t>
      </w:r>
    </w:p>
    <w:p w:rsidR="005944DB" w:rsidRDefault="005944DB" w:rsidP="005944DB">
      <w:r>
        <w:t>om behov av ökad medvetenhet om CRPD och hur den ska tillämpas i hela samhället samt att regioner och kommuner ska ges förutsättningar att bidra.</w:t>
      </w:r>
    </w:p>
    <w:p w:rsidR="005944DB" w:rsidRDefault="005944DB" w:rsidP="005944DB"/>
    <w:p w:rsidR="005944DB" w:rsidRDefault="005944DB" w:rsidP="005944DB">
      <w:r>
        <w:t>Utredningens förslag till styr- och uppföljningssystem är uppdelat i två delar. I den första delen saknas de principer som FN har lyft fram när det gäller "</w:t>
      </w:r>
      <w:proofErr w:type="spellStart"/>
      <w:r>
        <w:t>governance</w:t>
      </w:r>
      <w:proofErr w:type="spellEnd"/>
      <w:r>
        <w:t xml:space="preserve">", och erfarenheter av styrning av andra områden till exempel jämställdhetspolitiken, barnrättspolitiken och </w:t>
      </w:r>
      <w:proofErr w:type="spellStart"/>
      <w:r>
        <w:t>hbtq</w:t>
      </w:r>
      <w:proofErr w:type="spellEnd"/>
      <w:r>
        <w:t xml:space="preserve">-rättigheter. Inom dessa områden har lagstiftning skärpts med tillförande av långsiktiga satsningar i </w:t>
      </w:r>
      <w:r>
        <w:lastRenderedPageBreak/>
        <w:t>statsbudgeten. Sedan CRPD trädde i kraft har däremot rättigheter för personer</w:t>
      </w:r>
      <w:r w:rsidR="007E3C43">
        <w:t xml:space="preserve"> </w:t>
      </w:r>
      <w:r>
        <w:t>med funktionsnedsättning försvagats på flera områden även i budget. Uppgifter som fanns hos Handikappombudsmannen har inte tagits över av någon myndighet, och rättigheter kan inte utkrävas på avgörande områden. I den andra delen av kapitel 6 finns ett mer människorättsbaserat angreppssätt, men förslagen</w:t>
      </w:r>
    </w:p>
    <w:p w:rsidR="005944DB" w:rsidRDefault="005944DB" w:rsidP="005944DB">
      <w:r>
        <w:t xml:space="preserve">i sin helhet bygger inte på en grundläggande analys av funktionshinderpolitiken sedan CRPD trädde i kraft i Sverige och i EU eller på kritik från FN. </w:t>
      </w:r>
    </w:p>
    <w:p w:rsidR="005944DB" w:rsidRDefault="005944DB" w:rsidP="005944DB"/>
    <w:p w:rsidR="005944DB" w:rsidRDefault="00F6754A" w:rsidP="005944DB">
      <w:pPr>
        <w:rPr>
          <w:b/>
        </w:rPr>
      </w:pPr>
      <w:r w:rsidRPr="00F6754A">
        <w:rPr>
          <w:b/>
        </w:rPr>
        <w:t xml:space="preserve">7 </w:t>
      </w:r>
      <w:r w:rsidR="005944DB" w:rsidRPr="00F6754A">
        <w:rPr>
          <w:b/>
        </w:rPr>
        <w:t xml:space="preserve">Styrning och uppföljning i praktiken </w:t>
      </w:r>
    </w:p>
    <w:p w:rsidR="00F6754A" w:rsidRPr="00F6754A" w:rsidRDefault="00F6754A" w:rsidP="005944DB">
      <w:pPr>
        <w:rPr>
          <w:b/>
        </w:rPr>
      </w:pPr>
    </w:p>
    <w:p w:rsidR="005944DB" w:rsidRDefault="005944DB" w:rsidP="005944DB">
      <w:r>
        <w:t>Synskadades Riksförbund avslår förslaget om att vissa prioriterade myndigheter ska skrivas in i förordningen. Vi föreslår att prioriteringar med tydligare koppling till Agenda 2030 ska utgå från rättigheter och från FN:s rekommendationer som rör strukturella problem samt medborgerliga och politiska rättigheter.</w:t>
      </w:r>
    </w:p>
    <w:p w:rsidR="005944DB" w:rsidRDefault="005944DB" w:rsidP="005944DB"/>
    <w:p w:rsidR="005944DB" w:rsidRDefault="005944DB" w:rsidP="005944DB">
      <w:r>
        <w:t xml:space="preserve">Vi avslår också förslaget att Myndigheten för delaktighet ska samordna tvärsektoriella områden. Uppdrag ska finnas på respektive myndighet som har sakkunskap, nätverk och ansvar. MED bör istället fördjupa uppföljning av effekter av tillämpningen av politiken, det övergripande målet, de fyra inriktningarna och förordningen 2001:526 i nära dialog med intressenter inklusive funktionsrättsorganisationer. </w:t>
      </w:r>
    </w:p>
    <w:p w:rsidR="005944DB" w:rsidRDefault="005944DB" w:rsidP="005944DB"/>
    <w:p w:rsidR="005944DB" w:rsidRDefault="005944DB" w:rsidP="005944DB">
      <w:r>
        <w:t xml:space="preserve">Det finns inga förslag om hur mål ska kopplas till rättigheter och politikens inriktning. FN tar fram indikatorer som kopplar samman artiklarna i CRPD med Agenda 2030. Prioriteringar med koppling till de globala målen skulle skapa förutsättningar för en tvåspårsstrategi där funktionshinderperspektiv integreras i respektive politikområden, utan undantag, och kompletteras med riktade insatser för att stärka rättigheter, egenmakt och säkerställa självbestämmande. Andra rättighetsområden begränsas inte till ett fåtal myndigheter. </w:t>
      </w:r>
    </w:p>
    <w:p w:rsidR="005944DB" w:rsidRDefault="005944DB" w:rsidP="005944DB"/>
    <w:p w:rsidR="005944DB" w:rsidRDefault="005944DB" w:rsidP="005944DB">
      <w:r>
        <w:t xml:space="preserve">Utredningens förslag är att politiken ska styras genom mål inom sju områden som rör ekonomiska, sociala och kulturella </w:t>
      </w:r>
      <w:r>
        <w:lastRenderedPageBreak/>
        <w:t xml:space="preserve">rättigheter. Dessa är självklart oerhört viktiga. Men det är områden som redan varit prioriterade, utan att visa positiv utveckling och utan koppling till utkrävande av omedelbara medborgerliga och politiska rättigheter. </w:t>
      </w:r>
    </w:p>
    <w:p w:rsidR="005944DB" w:rsidRDefault="005944DB" w:rsidP="005944DB"/>
    <w:p w:rsidR="005944DB" w:rsidRDefault="005944DB" w:rsidP="005944DB">
      <w:r>
        <w:t xml:space="preserve">För att vända den negativa trenden med ökade klyftor mot en positiv utveckling krävs kunskap och politiskt ledarskap i </w:t>
      </w:r>
      <w:proofErr w:type="spellStart"/>
      <w:r>
        <w:t>sakdepartement</w:t>
      </w:r>
      <w:proofErr w:type="spellEnd"/>
      <w:r>
        <w:t xml:space="preserve"> i regeringen, i riksdagsutskott</w:t>
      </w:r>
    </w:p>
    <w:p w:rsidR="005944DB" w:rsidRDefault="005944DB" w:rsidP="005944DB">
      <w:r>
        <w:t>samt i regionala och kommunala nämnder. Offentliga medel ska användas för att inkludera, inte exkludera. Det krävs också krafttag av ansvariga beslutsfattare, forskare och myndigheter inom de tvärsektoriella områden som utredningen kallar "frågor av särskild vikt". Många "frågor" rör omedelbara medborgerliga</w:t>
      </w:r>
    </w:p>
    <w:p w:rsidR="005944DB" w:rsidRDefault="005944DB" w:rsidP="005944DB">
      <w:r>
        <w:t>och politiska rättigheter, utan dessa riskerar människor med funktionsnedsättning hamna allt längre efter i lagstiftning, makt och framtida samhällslösningar.</w:t>
      </w:r>
    </w:p>
    <w:p w:rsidR="005944DB" w:rsidRDefault="005944DB" w:rsidP="005944DB"/>
    <w:p w:rsidR="005944DB" w:rsidRPr="00F6754A" w:rsidRDefault="00F6754A" w:rsidP="005944DB">
      <w:pPr>
        <w:rPr>
          <w:b/>
        </w:rPr>
      </w:pPr>
      <w:r w:rsidRPr="00F6754A">
        <w:rPr>
          <w:b/>
        </w:rPr>
        <w:t xml:space="preserve">7.2 </w:t>
      </w:r>
      <w:r w:rsidR="005944DB" w:rsidRPr="00F6754A">
        <w:rPr>
          <w:b/>
        </w:rPr>
        <w:t>Mål och samhällsområden</w:t>
      </w:r>
    </w:p>
    <w:p w:rsidR="005944DB" w:rsidRDefault="005944DB" w:rsidP="005944DB">
      <w:r>
        <w:t>I det följande kommenterar Synskadades Riksförbund några av de politikområden som utredningen pekar ut. Vi vill med detta slå fast att det viktiga inte är hur olika områden och ramar definieras utan vilka initiativ och förändringar som måste till för att det övergripande målet om jämlikhet i levnadsvillkor och full delaktighet ska bli en realitet och inte en vision. Samtidigt pekar vi på några av de åtgärder som är allra viktigast för att personer med synnedsättning ska uppnå bättre levnadsvillkor och full delaktighet.</w:t>
      </w:r>
    </w:p>
    <w:p w:rsidR="005944DB" w:rsidRDefault="005944DB" w:rsidP="005944DB"/>
    <w:p w:rsidR="005944DB" w:rsidRDefault="005944DB" w:rsidP="005944DB">
      <w:r>
        <w:t xml:space="preserve">Helt avgörande för att uppnå större delaktighet oavsett samhällsområde är att det finns en effektiv habilitering och rehabilitering med individens behov i centrum. När det gäller habilitering och rehabilitering för synskadade, särskilt gravt synskadade och blinda, finns flera stora utmaningar idag. Exempelvis finns stora skillnader vad gäller likvärdighet mellan regionernas verksamheter. Andra utmaningar är den snabba digitaliseringen i samhället samt svårigheter att rekrytera ny personal och trygga en god kompetensförsörjning. </w:t>
      </w:r>
    </w:p>
    <w:p w:rsidR="005944DB" w:rsidRDefault="005944DB" w:rsidP="005944DB"/>
    <w:p w:rsidR="005944DB" w:rsidRDefault="005944DB" w:rsidP="005944DB">
      <w:r>
        <w:lastRenderedPageBreak/>
        <w:t xml:space="preserve">För att möta dessa utmaningar behövs nationella riktlinjer för vad som ska ingå i en god habilitering, rehabilitering och hjälpmedelsförsörjning. Dessutom måste regionerna anta egna utvecklingsplaner, där kompetensförsörjning, metodutveckling och brukarens behov och inflytande står i fokus. Det måste också finnas en nationell yrkesinriktad utbildning till </w:t>
      </w:r>
      <w:proofErr w:type="spellStart"/>
      <w:r>
        <w:t>synpedagog</w:t>
      </w:r>
      <w:proofErr w:type="spellEnd"/>
      <w:r>
        <w:t>. Vidare behövs en samverkan som är ännu bättre än idag för att synskadade ska få en sammanhängande</w:t>
      </w:r>
      <w:r w:rsidR="008A3752">
        <w:t xml:space="preserve"> </w:t>
      </w:r>
      <w:r>
        <w:t xml:space="preserve">rehabiliteringskedja. En fördjupad arbetslivsinriktad rehabilitering för gravt synskadade och blinda måste tillkapas och ett nationellt kunskapscenter på detta område inrättas.  </w:t>
      </w:r>
    </w:p>
    <w:p w:rsidR="005944DB" w:rsidRPr="00AB7E1C" w:rsidRDefault="005944DB" w:rsidP="005944DB">
      <w:pPr>
        <w:rPr>
          <w:sz w:val="24"/>
        </w:rPr>
      </w:pPr>
    </w:p>
    <w:p w:rsidR="005944DB" w:rsidRDefault="00AB7E1C" w:rsidP="005944DB">
      <w:pPr>
        <w:rPr>
          <w:b/>
        </w:rPr>
      </w:pPr>
      <w:r w:rsidRPr="00AB7E1C">
        <w:rPr>
          <w:b/>
        </w:rPr>
        <w:t xml:space="preserve">7.2.1 </w:t>
      </w:r>
      <w:r w:rsidR="005944DB" w:rsidRPr="00AB7E1C">
        <w:rPr>
          <w:b/>
        </w:rPr>
        <w:t xml:space="preserve">Arbete och försörjning </w:t>
      </w:r>
    </w:p>
    <w:p w:rsidR="00AB7E1C" w:rsidRPr="00AB7E1C" w:rsidRDefault="00AB7E1C" w:rsidP="005944DB">
      <w:pPr>
        <w:rPr>
          <w:b/>
        </w:rPr>
      </w:pPr>
    </w:p>
    <w:p w:rsidR="005944DB" w:rsidRDefault="005944DB" w:rsidP="005944DB">
      <w:r>
        <w:t>Mindre än 50 procent bland SRF:s medlemmar i arbetsför ålder har ett förvärvsarbete. Detta är förstås inte acceptabelt. Det är en andel som är omkring 30 procentenheter lägre än personer som inte har en funktionsnedsättning.</w:t>
      </w:r>
    </w:p>
    <w:p w:rsidR="005944DB" w:rsidRDefault="005944DB" w:rsidP="005944DB"/>
    <w:p w:rsidR="005944DB" w:rsidRDefault="005944DB" w:rsidP="005944DB">
      <w:r>
        <w:t>Orsakerna till att personer med synnedsättning har svårare än andra att hitta, få och behålla ett arbete är flera. Det kan handla om praktiska hinder, men också om barriärer i form av fördomar och rädsla. Exempelvis tror 60 procent av landets arbetsgivare inte att en person med grav synnedsättning kan utföra ett jobb lika bra som andra. Det handlar också om att det</w:t>
      </w:r>
      <w:r w:rsidR="008A3752">
        <w:t xml:space="preserve"> </w:t>
      </w:r>
      <w:r>
        <w:t>arbetsmarknadspolitiska stöd som finns inte fungerar tillfredsställande.</w:t>
      </w:r>
    </w:p>
    <w:p w:rsidR="005944DB" w:rsidRDefault="005944DB" w:rsidP="005944DB"/>
    <w:p w:rsidR="005944DB" w:rsidRDefault="005944DB" w:rsidP="005944DB">
      <w:r>
        <w:t>Det arbetsmarknadspolitiska stödsystemet behöver bli mer ändamålsenligt med bland annat en effektivare hjälpmedelsförsörjning och en mer individbaserad och centraliserad arbetslivsinriktad rehabilitering med ett samlat nationellt kompetenscenter. Beslutsvägarna måste vara snabba, för att inte långsam handläggning, såsom situationen är idag, i sig leder till utslagning från arbetsmarknaden. Vidare behöver både offentliga och privata arbetsgivare ta ett större ansvar. De måste också ges starkare incitament att anställa personer med olika funktionsnedsättningar.</w:t>
      </w:r>
    </w:p>
    <w:p w:rsidR="005944DB" w:rsidRDefault="005944DB" w:rsidP="005944DB"/>
    <w:p w:rsidR="005944DB" w:rsidRDefault="005944DB" w:rsidP="005944DB">
      <w:r>
        <w:lastRenderedPageBreak/>
        <w:t>Många medlemmar i Synskadades Riksförbund har en mycket utsatt ekonomisk situation. Ungefär hälften av de i arbetsför ålder har en egen sammanlagd årsinkomst som inte är mer än 200 000 kronor. Det är inte ovanligt att medlemmar har svårt att betala en oförutsedd utgift eller löpande vardagsutgifter. Många har också merkostnader på grund av en eller flera funktionsnedsättningar som de</w:t>
      </w:r>
      <w:bookmarkStart w:id="0" w:name="OLE_LINK22"/>
      <w:bookmarkStart w:id="1" w:name="OLE_LINK21"/>
      <w:r>
        <w:t xml:space="preserve"> inte får ersättning för.  </w:t>
      </w:r>
      <w:bookmarkEnd w:id="0"/>
      <w:bookmarkEnd w:id="1"/>
    </w:p>
    <w:p w:rsidR="005944DB" w:rsidRDefault="005944DB" w:rsidP="005944DB"/>
    <w:p w:rsidR="005944DB" w:rsidRDefault="005944DB" w:rsidP="005944DB">
      <w:r>
        <w:t>Denna ekonomiska utsatthet beror förstås delvis på en sämre inkludering på arbetsmarknaden, men den beror också på att det är allt svårare att få statlig sjuk- eller aktivitetsersättning eller kommunalt försörjningsstöd beviljat. Här behövs en politik som tydligare än idag säkerställer ekonomisk trygghet – även för de individer som av olika anledningar kan försörja sig med ett förvärvsarbete.</w:t>
      </w:r>
    </w:p>
    <w:p w:rsidR="005944DB" w:rsidRDefault="005944DB" w:rsidP="005944DB"/>
    <w:p w:rsidR="005944DB" w:rsidRDefault="00AB7E1C" w:rsidP="005944DB">
      <w:pPr>
        <w:rPr>
          <w:b/>
        </w:rPr>
      </w:pPr>
      <w:r w:rsidRPr="00AB7E1C">
        <w:rPr>
          <w:b/>
        </w:rPr>
        <w:t xml:space="preserve">7.2.2 </w:t>
      </w:r>
      <w:r w:rsidR="005944DB" w:rsidRPr="00AB7E1C">
        <w:rPr>
          <w:b/>
        </w:rPr>
        <w:t>Utbildning och livslångt lärande</w:t>
      </w:r>
    </w:p>
    <w:p w:rsidR="00AB7E1C" w:rsidRPr="00AB7E1C" w:rsidRDefault="00AB7E1C" w:rsidP="005944DB">
      <w:pPr>
        <w:rPr>
          <w:b/>
        </w:rPr>
      </w:pPr>
    </w:p>
    <w:p w:rsidR="005944DB" w:rsidRDefault="005944DB" w:rsidP="005944DB">
      <w:r>
        <w:t xml:space="preserve">För att nå målen om jämlika möjligheter till utbildning och livslångt lärande, vill </w:t>
      </w:r>
      <w:r w:rsidR="00C006C0">
        <w:t>v</w:t>
      </w:r>
      <w:r>
        <w:t xml:space="preserve">i föreslå ett tydligare främjandeuppdrag för myndigheterna inom utbildningsområdet, Utredningen skriver: "För de olika utbildningsformerna finns i sin tur övergripande mål ... varav en del uttryckligen också stadgar om att alla ska ges förutsättningar för att nå målen och utveckla sina kunskaper, färdigheter och kompetenser så långt som möjligt medan andra inte specifikt nämner detta." Vi föreslår att målen för olika utbildningsformer harmoniseras så att alla delar i utbildningssystemet får ett tydligt uppdrag att främja lika möjligheter för elever och studerande med funktionsnedsättningar. </w:t>
      </w:r>
    </w:p>
    <w:p w:rsidR="005944DB" w:rsidRDefault="005944DB" w:rsidP="005944DB"/>
    <w:p w:rsidR="005944DB" w:rsidRDefault="005944DB" w:rsidP="005944DB">
      <w:r>
        <w:t xml:space="preserve">Styrningen behöver också ta sikte på åtgärder som underlättar övergångarna mellan olika delar i utbildningskedjan, t.ex. mellan grundskola och gymnasieskola och mellan gymnasium och eftergymnasiala studier. Övergångarna är kritiska punkter där särskilda insatser behövs för att säkerställa att elever som är blinda eller har en synnedsättning kommer vidare i det livslånga lärandet. Vi vill se en tydlig ansvarsmodell för detta. Stärkt studie och yrkesvägledning till elever med funktionsnedsättning för att ta sig vidare till högre studier, plus ett aktivt introduktionsstöd från </w:t>
      </w:r>
      <w:r>
        <w:lastRenderedPageBreak/>
        <w:t xml:space="preserve">högskolor och universitet för att de ska klara övergången, är viktiga komponenter för att utbildningskedjan ska hänga ihop. Då blinda och gravt synskadade elever ofta är ensamma i sin situation på sin skola måste staten garantera terminsvisa elev- och föräldraträffar på </w:t>
      </w:r>
      <w:r w:rsidR="00C006C0">
        <w:t>n</w:t>
      </w:r>
      <w:r>
        <w:t>ationell nivå för att stärka elever och föräldrar i deras utsatta situation. Rätten till punktskriftsundervisning behöver skrivas in i skollagen.</w:t>
      </w:r>
    </w:p>
    <w:p w:rsidR="005944DB" w:rsidRDefault="005944DB" w:rsidP="005944DB"/>
    <w:p w:rsidR="005944DB" w:rsidRDefault="00DD58FA" w:rsidP="005944DB">
      <w:pPr>
        <w:rPr>
          <w:b/>
        </w:rPr>
      </w:pPr>
      <w:r w:rsidRPr="00DD58FA">
        <w:rPr>
          <w:b/>
        </w:rPr>
        <w:t xml:space="preserve">7.2.3 </w:t>
      </w:r>
      <w:r w:rsidR="005944DB" w:rsidRPr="00DD58FA">
        <w:rPr>
          <w:b/>
        </w:rPr>
        <w:t>Transport</w:t>
      </w:r>
    </w:p>
    <w:p w:rsidR="00DD58FA" w:rsidRPr="00DD58FA" w:rsidRDefault="00DD58FA" w:rsidP="005944DB">
      <w:pPr>
        <w:rPr>
          <w:b/>
        </w:rPr>
      </w:pPr>
    </w:p>
    <w:p w:rsidR="005944DB" w:rsidRDefault="005944DB" w:rsidP="005944DB">
      <w:r>
        <w:t>Idag är målet om att personer med funktionsnedsättning ska ha jämlik tillgång till transporter långtifrån verkligheten. Enligt Synskadades Riksförbunds medlemsundersökningar är det bara en av fyra med synnedsättning som överhuvudtaget åker kollektivt på egen hand. Mer än var fjärde anser inte att kollektivtrafiken är trygg och enkel att använda och antalet personer som har tillstånd att nyttja färdtjänst har minskat.</w:t>
      </w:r>
    </w:p>
    <w:p w:rsidR="005944DB" w:rsidRDefault="005944DB" w:rsidP="005944DB"/>
    <w:p w:rsidR="005944DB" w:rsidRDefault="005944DB" w:rsidP="005944DB">
      <w:r>
        <w:t>För en större delaktighet måste färdtjänsten i högre grad än idag vara en flexibel samhällsservice så att personer med synnedsättning kan arbeta, vara föräldrar och ha en fritid – på jämlika villkor. Det behövs förtydliganden i lagstiftningen för såväl färdtjänst som riksfärdtjänst, där syftet med verksamheten tydliggörs och kraven på kvalitet blir starkare. En nationell myndighet med ansvar för tillsyn av verksamheten måste också utses, så att god kvalitet kan garanteras redan då färdtjänst upphandlas.</w:t>
      </w:r>
    </w:p>
    <w:p w:rsidR="005944DB" w:rsidRDefault="005944DB" w:rsidP="005944DB"/>
    <w:p w:rsidR="005944DB" w:rsidRDefault="00DD58FA" w:rsidP="005944DB">
      <w:pPr>
        <w:rPr>
          <w:b/>
        </w:rPr>
      </w:pPr>
      <w:r w:rsidRPr="00DD58FA">
        <w:rPr>
          <w:b/>
        </w:rPr>
        <w:t xml:space="preserve">7.2.6 </w:t>
      </w:r>
      <w:r w:rsidR="005944DB" w:rsidRPr="00DD58FA">
        <w:rPr>
          <w:b/>
        </w:rPr>
        <w:t xml:space="preserve">Social välfärd och trygghet </w:t>
      </w:r>
    </w:p>
    <w:p w:rsidR="00DD58FA" w:rsidRPr="00DD58FA" w:rsidRDefault="00DD58FA" w:rsidP="005944DB">
      <w:pPr>
        <w:rPr>
          <w:b/>
        </w:rPr>
      </w:pPr>
    </w:p>
    <w:p w:rsidR="005944DB" w:rsidRDefault="005944DB" w:rsidP="005944DB">
      <w:r>
        <w:t xml:space="preserve">Som utredningen lyfter fram är </w:t>
      </w:r>
      <w:r w:rsidR="00402527">
        <w:t>t</w:t>
      </w:r>
      <w:r>
        <w:t>illgången till stöd och service efter behov en central förutsättning för ett självständigt liv. Social</w:t>
      </w:r>
    </w:p>
    <w:p w:rsidR="005944DB" w:rsidRDefault="005944DB" w:rsidP="005944DB">
      <w:r>
        <w:t xml:space="preserve">välfärd och trygghet är av avgörande betydelse för såväl jämlika levnadsvillkor som delaktighet i samhällslivet. På detta område ser vi dock att utvecklingen gått åt helt fel håll de senaste åren. Vi ser </w:t>
      </w:r>
      <w:r w:rsidR="00402527">
        <w:t>neddragningar</w:t>
      </w:r>
      <w:r>
        <w:t xml:space="preserve"> och inskränkningar som går helt i motsatt riktning mot de intentioner som slås fast i CRPD och agenda 2030.</w:t>
      </w:r>
    </w:p>
    <w:p w:rsidR="005944DB" w:rsidRDefault="005944DB" w:rsidP="005944DB"/>
    <w:p w:rsidR="005944DB" w:rsidRDefault="005944DB" w:rsidP="005944DB">
      <w:r>
        <w:lastRenderedPageBreak/>
        <w:t xml:space="preserve">Vi ser också luckor i befintlig lagstiftning på det socialpolitiska området och tydliga brister i hur kommunerna tillämpar denna lagstiftning. </w:t>
      </w:r>
    </w:p>
    <w:p w:rsidR="005944DB" w:rsidRDefault="005944DB" w:rsidP="005944DB"/>
    <w:p w:rsidR="005944DB" w:rsidRDefault="005944DB" w:rsidP="005944DB">
      <w:r>
        <w:t>Det behövs ty</w:t>
      </w:r>
      <w:r w:rsidR="00402527">
        <w:t>d</w:t>
      </w:r>
      <w:r>
        <w:t>lig</w:t>
      </w:r>
      <w:r w:rsidR="00402527">
        <w:t>a</w:t>
      </w:r>
      <w:r>
        <w:t xml:space="preserve"> initiativ för att vända den negativa trenden. Här lyfter vi fram två områden som är helt avgörande för personer med synnedsättning.</w:t>
      </w:r>
    </w:p>
    <w:p w:rsidR="005944DB" w:rsidRDefault="005944DB" w:rsidP="005944DB"/>
    <w:p w:rsidR="005944DB" w:rsidRPr="00CB1B64" w:rsidRDefault="005944DB" w:rsidP="005944DB">
      <w:pPr>
        <w:rPr>
          <w:b/>
        </w:rPr>
      </w:pPr>
      <w:r w:rsidRPr="00CB1B64">
        <w:rPr>
          <w:b/>
        </w:rPr>
        <w:t>Syn- och hörselinstruktörer</w:t>
      </w:r>
    </w:p>
    <w:p w:rsidR="00CB1B64" w:rsidRDefault="00CB1B64" w:rsidP="005944DB"/>
    <w:p w:rsidR="005944DB" w:rsidRDefault="005944DB" w:rsidP="005944DB">
      <w:r>
        <w:t>Syn- och hörselinstruktörernas uppgift är att hjälpa till med anpassningar och träning i hemmet och närmiljön. De utgör ett mycket viktigt komplement till syncentralernas</w:t>
      </w:r>
      <w:r w:rsidR="00722648">
        <w:t xml:space="preserve"> </w:t>
      </w:r>
      <w:r>
        <w:t xml:space="preserve">rehabiliteringsinsatser. </w:t>
      </w:r>
    </w:p>
    <w:p w:rsidR="005944DB" w:rsidRDefault="005944DB" w:rsidP="005944DB"/>
    <w:p w:rsidR="005944DB" w:rsidRDefault="005944DB" w:rsidP="005944DB">
      <w:r>
        <w:t>Denna verksamhet är en ”hjälp till självhjälp”, som syftar till att öka livskvalitet, egenkontroll och säkerhet i hem</w:t>
      </w:r>
      <w:r w:rsidR="00722648">
        <w:t>-</w:t>
      </w:r>
      <w:r>
        <w:t xml:space="preserve"> och närmiljö. I förlängningen minskar stödet också behovet av kommunal service, kommunala boenden och vårdinsatser för äldre. Därmed är stödet också en långsiktig investering och ekonomisk vinst för det offentliga.</w:t>
      </w:r>
    </w:p>
    <w:p w:rsidR="005944DB" w:rsidRDefault="005944DB" w:rsidP="005944DB"/>
    <w:p w:rsidR="005944DB" w:rsidRDefault="005944DB" w:rsidP="005944DB">
      <w:r>
        <w:t xml:space="preserve">Vi ser att denna viktiga verksamhet långsamt försvinner. De flesta kommunerna har helt dragit in tjänsten. Enligt SRF:s egna kartläggningar har andelen kommuner med en instruktörstjänst minskat från omkring hälften 2006 till mindre än var tredje i år 2019. </w:t>
      </w:r>
    </w:p>
    <w:p w:rsidR="005944DB" w:rsidRDefault="005944DB" w:rsidP="005944DB"/>
    <w:p w:rsidR="005944DB" w:rsidRDefault="005944DB" w:rsidP="005944DB">
      <w:r>
        <w:t>Nu måste kommunernas incitament att bibehålla eller återinrätta stödet från syn- och hörselinstruktörer stärkas, exempelvis genom ett tydligt lagstöd, men också genom samverkansavtal mellan regionernas rehabiliteringsverksamheter och de enskilda kommunerna.</w:t>
      </w:r>
    </w:p>
    <w:p w:rsidR="005944DB" w:rsidRDefault="005944DB" w:rsidP="005944DB"/>
    <w:p w:rsidR="005944DB" w:rsidRPr="00CB1B64" w:rsidRDefault="005944DB" w:rsidP="005944DB">
      <w:pPr>
        <w:rPr>
          <w:b/>
        </w:rPr>
      </w:pPr>
      <w:r w:rsidRPr="00CB1B64">
        <w:rPr>
          <w:b/>
        </w:rPr>
        <w:t>Ledsagarservice</w:t>
      </w:r>
    </w:p>
    <w:p w:rsidR="00CB1B64" w:rsidRDefault="00CB1B64" w:rsidP="005944DB"/>
    <w:p w:rsidR="005944DB" w:rsidRPr="00BF5510" w:rsidRDefault="005944DB" w:rsidP="005944DB">
      <w:r>
        <w:t xml:space="preserve">Ledsagarservice är en förutsättning för delaktighet och ett självständigt och aktivt liv för den som har en grav synnedsättning. Tyvärr har det blivit allt svårare att få ledsagning </w:t>
      </w:r>
      <w:r>
        <w:lastRenderedPageBreak/>
        <w:t xml:space="preserve">beviljad. </w:t>
      </w:r>
      <w:r>
        <w:rPr>
          <w:rFonts w:cs="Arial"/>
        </w:rPr>
        <w:t>Data från Socialstyrelsen visar att var femte individ som haft ledsagning enligt LSS har förlorat sin insats under de senaste tio åren.</w:t>
      </w:r>
    </w:p>
    <w:p w:rsidR="005944DB" w:rsidRDefault="005944DB" w:rsidP="005944DB">
      <w:pPr>
        <w:rPr>
          <w:rFonts w:cs="Arial"/>
        </w:rPr>
      </w:pPr>
    </w:p>
    <w:p w:rsidR="005944DB" w:rsidRDefault="005944DB" w:rsidP="005944DB">
      <w:pPr>
        <w:rPr>
          <w:rFonts w:cs="Arial"/>
        </w:rPr>
      </w:pPr>
      <w:r>
        <w:rPr>
          <w:rFonts w:cs="Arial"/>
        </w:rPr>
        <w:t>Vidare visar SRF:s egna undersökningar att ledsag</w:t>
      </w:r>
      <w:bookmarkStart w:id="2" w:name="OLE_LINK18"/>
      <w:r>
        <w:rPr>
          <w:rFonts w:cs="Arial"/>
        </w:rPr>
        <w:t xml:space="preserve">ning enligt Socialtjänstlagen </w:t>
      </w:r>
      <w:r>
        <w:t>i stor utsträckning är förknippade med betydande kostnader för individen och flera olika begränsningar vad gäller antal beviljade timmar och hur, var och när den kan användas.</w:t>
      </w:r>
      <w:bookmarkEnd w:id="2"/>
    </w:p>
    <w:p w:rsidR="005944DB" w:rsidRDefault="005944DB" w:rsidP="005944DB">
      <w:pPr>
        <w:rPr>
          <w:rFonts w:cs="Arial"/>
        </w:rPr>
      </w:pPr>
    </w:p>
    <w:p w:rsidR="005944DB" w:rsidRDefault="005944DB" w:rsidP="005944DB">
      <w:r>
        <w:t xml:space="preserve">En försämrad tillgång till ledsagarinsatser innebär inte bara sämre delaktighet, utan också inaktivitet och en sämre hälsa. </w:t>
      </w:r>
    </w:p>
    <w:p w:rsidR="005944DB" w:rsidRDefault="005944DB" w:rsidP="005944DB"/>
    <w:p w:rsidR="005944DB" w:rsidRDefault="005944DB" w:rsidP="005944DB">
      <w:r>
        <w:t>Kommunernas incitament att erbjuda ledsagarservice av god kvalitet behöver därför stärkas. Först och främst behövs förtydliganden i Lagen om stöd och service till vissa funktionshindrade (LSS)</w:t>
      </w:r>
      <w:r w:rsidR="008562D8">
        <w:t>.</w:t>
      </w:r>
      <w:r>
        <w:t xml:space="preserve"> Det måste tydligt slås fast att personer som är blinda, gravt synskadade eller dövblinda tillhör den personkrets som har rätt till LSS-insatser. Vi vill också peka på vikten av att insatsen ledsagarservice finns kvar som en av de angivna insatserna i lagstiftningen.</w:t>
      </w:r>
    </w:p>
    <w:p w:rsidR="005944DB" w:rsidRDefault="005944DB" w:rsidP="005944DB"/>
    <w:p w:rsidR="005944DB" w:rsidRDefault="005944DB" w:rsidP="005944DB">
      <w:r>
        <w:t>Det behövs också tydligare kvalitetskrav även för ledsagarinsatser - antingen genom skarpare lagstiftning eller genom nationella föreskrifter. I dessa kvalitetskrav behöver det bland annat slås fast att ledsagning ska beviljas i den omfattning och till de aktiviteter som den enskilde har behov av</w:t>
      </w:r>
      <w:r w:rsidR="00F617C9">
        <w:t>.</w:t>
      </w:r>
      <w:r>
        <w:t xml:space="preserve"> Att ledsagning, även enligt </w:t>
      </w:r>
      <w:proofErr w:type="spellStart"/>
      <w:r>
        <w:t>SoL</w:t>
      </w:r>
      <w:proofErr w:type="spellEnd"/>
      <w:r>
        <w:t>, alltid ska beviljas utan kostnad för individen, att den huvudman som beviljar ledsagning också ska stå för eventuella omkostnader för ledsagaren samt att ledsagarinsatsen inte ska kunna begränsas till den egna kommunen eller till en viss tid på dygnet.</w:t>
      </w:r>
    </w:p>
    <w:p w:rsidR="005944DB" w:rsidRDefault="005944DB" w:rsidP="005944DB"/>
    <w:p w:rsidR="005944DB" w:rsidRDefault="00CB1B64" w:rsidP="005944DB">
      <w:pPr>
        <w:rPr>
          <w:b/>
        </w:rPr>
      </w:pPr>
      <w:r w:rsidRPr="00CB1B64">
        <w:rPr>
          <w:b/>
        </w:rPr>
        <w:t xml:space="preserve">7.4.5 </w:t>
      </w:r>
      <w:r w:rsidR="005944DB" w:rsidRPr="00CB1B64">
        <w:rPr>
          <w:b/>
        </w:rPr>
        <w:t>Reformerat myndighetsansvar</w:t>
      </w:r>
    </w:p>
    <w:p w:rsidR="00CB1B64" w:rsidRPr="00CB1B64" w:rsidRDefault="00CB1B64" w:rsidP="005944DB">
      <w:pPr>
        <w:rPr>
          <w:b/>
        </w:rPr>
      </w:pPr>
    </w:p>
    <w:p w:rsidR="005944DB" w:rsidRDefault="005944DB" w:rsidP="005944DB">
      <w:r>
        <w:t xml:space="preserve">Det finns både möjligheter och svårigheter i att Skolverket föreslås få ett uttalat samordnande ansvar inom utbildning och livslångt lärande. Vi vill se att samordningsansvaret kombineras med ett tydligt uppdrag att sätta in konkreta åtgärder för att underlätta övergången mellan olika utbildningsformer, framför allt för att fler </w:t>
      </w:r>
      <w:r>
        <w:lastRenderedPageBreak/>
        <w:t>med funktionsnedsättning ska gå vidare till eftergymnasiala studier. Även under studietiden behövs åtgärder för att minska riskerna för att studenter med funktionsnedsättningar hoppar av. Vår bedömning är att det kan bli svårt för Skolverket att vara pådrivande i sådana frågor. Vi är övertygade om att det i så fall krävs ett helt nytt arbetssätt och nya former för samarbete med de myndigheter som ansvarar för eftergymnasiala studier. Regeringen måste styra så att ett aktivt samarbete verkligen kommer på plats. Vi har noterat att det inte har varit enkelt att hitta former för samarbete när det gäller Skolverket, Skolinspektionen och Specialpedagogiska skolmyndigheten.</w:t>
      </w:r>
    </w:p>
    <w:p w:rsidR="005944DB" w:rsidRDefault="005944DB" w:rsidP="005944DB">
      <w:r>
        <w:t xml:space="preserve"> </w:t>
      </w:r>
    </w:p>
    <w:p w:rsidR="005944DB" w:rsidRDefault="005944DB" w:rsidP="005944DB">
      <w:r>
        <w:t xml:space="preserve">Möjligheten att studera vid folkhögskolor är viktig för att komplettera gymnasiestudier eller för att genomgå vissa konkreta yrkesutbildningar. Specialpedagogiska skolmyndigheten måste här få ett ansvar för att ge råd och stöd till studerande med funktionsnedsättning som studerar vid folkhögskolor. Idag ger SPSM endast vissa ekonomiska bidrag. </w:t>
      </w:r>
    </w:p>
    <w:p w:rsidR="005944DB" w:rsidRDefault="005944DB" w:rsidP="005944DB"/>
    <w:p w:rsidR="005944DB" w:rsidRDefault="005944DB" w:rsidP="005944DB">
      <w:r>
        <w:t xml:space="preserve">Universitet- och högskolerådet, UHR, har den viktiga uppgiften att bredda rekryteringen och sprida information om hur lika möjligheter kan skapas inom högskolan. Vi anser dock att Regeringen måste ge UHR tydligare instruktioner att vara pådrivande gentemot lärosätena i att undanröja hinder för studerande med funktionsnedsättning. UHR måste också få i uppdrag att mer aktivt motverka avhopp. Högskolorna behöver stöd i att hitta verktyg för att fler med funktionsnedsättningar ska fullfölja studierna. </w:t>
      </w:r>
    </w:p>
    <w:p w:rsidR="005944DB" w:rsidRDefault="005944DB" w:rsidP="005944DB"/>
    <w:p w:rsidR="005944DB" w:rsidRDefault="005944DB" w:rsidP="005944DB"/>
    <w:p w:rsidR="005944DB" w:rsidRDefault="00CB1B64" w:rsidP="005944DB">
      <w:pPr>
        <w:rPr>
          <w:b/>
        </w:rPr>
      </w:pPr>
      <w:r w:rsidRPr="00CB1B64">
        <w:rPr>
          <w:b/>
        </w:rPr>
        <w:t xml:space="preserve">7.5 </w:t>
      </w:r>
      <w:r w:rsidR="005944DB" w:rsidRPr="00CB1B64">
        <w:rPr>
          <w:b/>
        </w:rPr>
        <w:t xml:space="preserve">Tydligt och sammanhållet system för uppföljning och analys </w:t>
      </w:r>
    </w:p>
    <w:p w:rsidR="00CB1B64" w:rsidRPr="00CB1B64" w:rsidRDefault="00CB1B64" w:rsidP="005944DB">
      <w:pPr>
        <w:rPr>
          <w:b/>
        </w:rPr>
      </w:pPr>
    </w:p>
    <w:p w:rsidR="005944DB" w:rsidRDefault="005944DB" w:rsidP="005944DB">
      <w:r>
        <w:t xml:space="preserve">Synskadades Riksförbund välkomnar förslag att SCB ska utveckla statistik och metoder i samarbete med forskare, andra myndigheter och Rådet för främjande av kommunala analyser samt i internationellt utbyte. Det behöver dock också tydliggöras att funktionshinderorganisationer också ska involveras i statistik </w:t>
      </w:r>
      <w:r>
        <w:lastRenderedPageBreak/>
        <w:t>och indikatorer, inte enbart genom</w:t>
      </w:r>
      <w:r w:rsidR="009B6FF3">
        <w:t xml:space="preserve"> </w:t>
      </w:r>
      <w:r>
        <w:t xml:space="preserve">ett "användarperspektiv" när det gäller undersökningsmetoder. </w:t>
      </w:r>
    </w:p>
    <w:p w:rsidR="005944DB" w:rsidRDefault="005944DB" w:rsidP="005944DB"/>
    <w:p w:rsidR="005944DB" w:rsidRDefault="005944DB" w:rsidP="005944DB">
      <w:r>
        <w:t xml:space="preserve">Forskning kring uppföljning och effekter av insatser utifrån ett människorättsperspektiv behöver utvecklas. Det rör mer än levnadsförhållanden. Till exempel behöver fokus läggas på </w:t>
      </w:r>
      <w:r w:rsidR="009B6FF3">
        <w:t>a</w:t>
      </w:r>
      <w:r>
        <w:t>nvändning av offentliga medel i inköp och upphandling, tillämpning av tillgänglighet genom universell utformning, förutsättningar att utkräva rättigheter och hur olika offentliga insatser påverkar individens möjlighet till delaktighet och en god hälsa.</w:t>
      </w:r>
    </w:p>
    <w:p w:rsidR="005944DB" w:rsidRDefault="005944DB" w:rsidP="005944DB"/>
    <w:p w:rsidR="005944DB" w:rsidRDefault="005944DB" w:rsidP="005944DB">
      <w:r>
        <w:t xml:space="preserve">Funktionshinderorganisationerna ska självklart involveras i uppföljning och analys av politiken, men vi behöver också förutsättningar att kunna initiera insatser som behövs. </w:t>
      </w:r>
    </w:p>
    <w:p w:rsidR="005944DB" w:rsidRDefault="005944DB" w:rsidP="005944DB"/>
    <w:p w:rsidR="005944DB" w:rsidRDefault="005944DB" w:rsidP="005944DB">
      <w:r>
        <w:t xml:space="preserve">Möjligheten att följa upp resultat av handlingsplaner för tillgänglighet i kommuner och myndigheter har försvunnit. Vägledningen Riv Hinder som gav stöd och vägledning för uppföljning av tillgänglighet har tagits bort utan dialog. Utformning och användning av panelen Riv </w:t>
      </w:r>
      <w:r w:rsidR="009B6FF3">
        <w:t>H</w:t>
      </w:r>
      <w:r>
        <w:t xml:space="preserve">inder har kritiserats av funktionsrättsorganisationer i många år utan åtgärd. </w:t>
      </w:r>
    </w:p>
    <w:p w:rsidR="005944DB" w:rsidRDefault="005944DB" w:rsidP="005944DB"/>
    <w:p w:rsidR="005944DB" w:rsidRPr="008132C6" w:rsidRDefault="008132C6" w:rsidP="005944DB">
      <w:pPr>
        <w:rPr>
          <w:b/>
        </w:rPr>
      </w:pPr>
      <w:r w:rsidRPr="008132C6">
        <w:rPr>
          <w:b/>
        </w:rPr>
        <w:t xml:space="preserve">8 </w:t>
      </w:r>
      <w:r w:rsidR="005944DB" w:rsidRPr="008132C6">
        <w:rPr>
          <w:b/>
        </w:rPr>
        <w:t xml:space="preserve">En nationell samordnare främjar funktionshinderspolitiken </w:t>
      </w:r>
    </w:p>
    <w:p w:rsidR="008132C6" w:rsidRDefault="008132C6" w:rsidP="005944DB"/>
    <w:p w:rsidR="005944DB" w:rsidRDefault="005944DB" w:rsidP="005944DB">
      <w:bookmarkStart w:id="3" w:name="_GoBack"/>
      <w:bookmarkEnd w:id="3"/>
      <w:r>
        <w:t>Synskadades Riksförbund tillstyrker behovet av samordning och betonar vikten av det helhetsgrepp som riksdagen efterfrågat i sitt tillkännagivande när det</w:t>
      </w:r>
      <w:r w:rsidR="009B6FF3">
        <w:t xml:space="preserve"> </w:t>
      </w:r>
      <w:r>
        <w:t>gäller funktionshinderpolitiken. Vi föreslår att regeringen tillsätter en funktionsrättskommitt</w:t>
      </w:r>
      <w:r w:rsidR="009B6FF3">
        <w:t>é</w:t>
      </w:r>
      <w:r>
        <w:t xml:space="preserve"> direkt under statsrådsberedningen som fungerar som en insatsstyrka. Vi föreslår att det löpande samordningsansvaret flyttas till ministern med ansvar för mänskliga rättigheter. Samordningskansliet ska få stöd från ett råd bestående av funktionshinderorganisationer i enlighet med artikel 4.3 och allmän kommentar 7. Kommitténs uppdrag ska vara att ta fram en strategi och handlingsplan för 2021 — 2030.</w:t>
      </w:r>
      <w:r w:rsidR="009B6FF3">
        <w:t xml:space="preserve"> </w:t>
      </w:r>
      <w:r>
        <w:t xml:space="preserve">Strategin ska sträva efter synergier med genomförande av Agenda 2030 och EU:s kommande funktionsrättsstrategi. Handlingsplanen ska revideras senast ett halvår efter att FN lämnat nya rekommendationer till Sverige. Den </w:t>
      </w:r>
      <w:r>
        <w:lastRenderedPageBreak/>
        <w:t xml:space="preserve">3 december 2019 presenteras civilsamhällets förslag till rekommendationer för att genomföra CRPD. Rapporten ska utgöra ett underlag till strategi och handlingsplan. </w:t>
      </w:r>
    </w:p>
    <w:p w:rsidR="005944DB" w:rsidRDefault="005944DB" w:rsidP="005944DB"/>
    <w:p w:rsidR="005944DB" w:rsidRDefault="005944DB" w:rsidP="005944DB">
      <w:r>
        <w:t xml:space="preserve">Det krävs alltså både en </w:t>
      </w:r>
      <w:r w:rsidR="009B6FF3">
        <w:t>f</w:t>
      </w:r>
      <w:r>
        <w:t xml:space="preserve">unktionsrättskommitté och en blåslampa i form av en nationell samordnare för att få igång politiska beslut och genomförande av funktionsrättspolitik i hela samhället och över hela landet. </w:t>
      </w:r>
    </w:p>
    <w:p w:rsidR="005944DB" w:rsidRDefault="005944DB" w:rsidP="005944DB"/>
    <w:p w:rsidR="005944DB" w:rsidRDefault="005944DB" w:rsidP="005944DB"/>
    <w:p w:rsidR="005944DB" w:rsidRPr="006B7F7A" w:rsidRDefault="005944DB" w:rsidP="005944DB">
      <w:pPr>
        <w:rPr>
          <w:b/>
        </w:rPr>
      </w:pPr>
      <w:r w:rsidRPr="006B7F7A">
        <w:rPr>
          <w:b/>
        </w:rPr>
        <w:t xml:space="preserve">Med vänliga hälsningar </w:t>
      </w:r>
    </w:p>
    <w:p w:rsidR="006B7F7A" w:rsidRPr="006B7F7A" w:rsidRDefault="006B7F7A" w:rsidP="005944DB">
      <w:pPr>
        <w:rPr>
          <w:b/>
        </w:rPr>
      </w:pPr>
    </w:p>
    <w:p w:rsidR="006B7F7A" w:rsidRPr="006B7F7A" w:rsidRDefault="006B7F7A" w:rsidP="005944DB">
      <w:pPr>
        <w:rPr>
          <w:b/>
        </w:rPr>
      </w:pPr>
      <w:r w:rsidRPr="006B7F7A">
        <w:rPr>
          <w:b/>
        </w:rPr>
        <w:t>SYNSKADADES RIKSFÖRBUND</w:t>
      </w:r>
    </w:p>
    <w:p w:rsidR="005944DB" w:rsidRPr="006B7F7A" w:rsidRDefault="005944DB" w:rsidP="005944DB">
      <w:pPr>
        <w:rPr>
          <w:b/>
        </w:rPr>
      </w:pPr>
    </w:p>
    <w:p w:rsidR="005944DB" w:rsidRPr="006B7F7A" w:rsidRDefault="005944DB" w:rsidP="005944DB">
      <w:pPr>
        <w:rPr>
          <w:b/>
        </w:rPr>
      </w:pPr>
    </w:p>
    <w:p w:rsidR="005944DB" w:rsidRPr="006B7F7A" w:rsidRDefault="005944DB" w:rsidP="005944DB">
      <w:pPr>
        <w:rPr>
          <w:b/>
        </w:rPr>
      </w:pPr>
    </w:p>
    <w:p w:rsidR="006B7F7A" w:rsidRPr="006B7F7A" w:rsidRDefault="005944DB" w:rsidP="005944DB">
      <w:pPr>
        <w:rPr>
          <w:b/>
        </w:rPr>
      </w:pPr>
      <w:r w:rsidRPr="006B7F7A">
        <w:rPr>
          <w:b/>
        </w:rPr>
        <w:t>Håkan Thomsson</w:t>
      </w:r>
    </w:p>
    <w:p w:rsidR="005944DB" w:rsidRPr="006B7F7A" w:rsidRDefault="006B7F7A" w:rsidP="005944DB">
      <w:pPr>
        <w:rPr>
          <w:b/>
        </w:rPr>
      </w:pPr>
      <w:r w:rsidRPr="006B7F7A">
        <w:rPr>
          <w:b/>
        </w:rPr>
        <w:t>F</w:t>
      </w:r>
      <w:r w:rsidR="005944DB" w:rsidRPr="006B7F7A">
        <w:rPr>
          <w:b/>
        </w:rPr>
        <w:t>örbundsordförande</w:t>
      </w:r>
    </w:p>
    <w:p w:rsidR="005944DB" w:rsidRDefault="005944DB" w:rsidP="005944DB"/>
    <w:p w:rsidR="005944DB" w:rsidRDefault="005944DB" w:rsidP="005944DB"/>
    <w:p w:rsidR="005944DB" w:rsidRDefault="005944DB" w:rsidP="005944DB">
      <w:r>
        <w:br w:type="page"/>
      </w:r>
    </w:p>
    <w:p w:rsidR="005944DB" w:rsidRDefault="005944DB" w:rsidP="005944DB">
      <w:r>
        <w:lastRenderedPageBreak/>
        <w:t xml:space="preserve">Styrkraft i funktionshinderpolitiken </w:t>
      </w:r>
    </w:p>
    <w:p w:rsidR="0083255F" w:rsidRDefault="0083255F" w:rsidP="005944DB"/>
    <w:p w:rsidR="005944DB" w:rsidRDefault="005944DB" w:rsidP="005944DB">
      <w:r>
        <w:t xml:space="preserve">Referenser </w:t>
      </w:r>
    </w:p>
    <w:p w:rsidR="005944DB" w:rsidRDefault="005944DB" w:rsidP="005944DB">
      <w:r>
        <w:t>1</w:t>
      </w:r>
      <w:r w:rsidR="0083255F">
        <w:t>.</w:t>
      </w:r>
      <w:r>
        <w:t xml:space="preserve"> Allmän kommentar 7 beskriver tydligt hur aktiv involvering i beslut ska gå till, bland annat finns en skyldighet att informera organisationerna om resultatet</w:t>
      </w:r>
      <w:r w:rsidR="00271F3F">
        <w:t xml:space="preserve"> </w:t>
      </w:r>
      <w:r>
        <w:t>av beslutsfattande processer med en utförlig förklaring i ett begripligt format om resonemang bakom beslut och hur organisationernas synpunkter tagits</w:t>
      </w:r>
    </w:p>
    <w:p w:rsidR="005944DB" w:rsidRDefault="005944DB" w:rsidP="005944DB">
      <w:pPr>
        <w:rPr>
          <w:lang w:val="en-US"/>
        </w:rPr>
      </w:pPr>
      <w:r w:rsidRPr="00BE39DB">
        <w:rPr>
          <w:lang w:val="en-US"/>
        </w:rPr>
        <w:t xml:space="preserve">till </w:t>
      </w:r>
      <w:proofErr w:type="spellStart"/>
      <w:r w:rsidRPr="00BE39DB">
        <w:rPr>
          <w:lang w:val="en-US"/>
        </w:rPr>
        <w:t>vara</w:t>
      </w:r>
      <w:proofErr w:type="spellEnd"/>
      <w:r w:rsidRPr="00BE39DB">
        <w:rPr>
          <w:lang w:val="en-US"/>
        </w:rPr>
        <w:t xml:space="preserve">. </w:t>
      </w:r>
    </w:p>
    <w:p w:rsidR="0083255F" w:rsidRPr="00BE39DB" w:rsidRDefault="0083255F" w:rsidP="005944DB">
      <w:pPr>
        <w:rPr>
          <w:lang w:val="en-US"/>
        </w:rPr>
      </w:pPr>
    </w:p>
    <w:p w:rsidR="005944DB" w:rsidRDefault="005944DB" w:rsidP="005944DB">
      <w:pPr>
        <w:rPr>
          <w:lang w:val="en-US"/>
        </w:rPr>
      </w:pPr>
      <w:r w:rsidRPr="00BE39DB">
        <w:rPr>
          <w:lang w:val="en-US"/>
        </w:rPr>
        <w:t>2</w:t>
      </w:r>
      <w:r w:rsidR="0083255F">
        <w:rPr>
          <w:lang w:val="en-US"/>
        </w:rPr>
        <w:t>.</w:t>
      </w:r>
      <w:r w:rsidRPr="00BE39DB">
        <w:rPr>
          <w:lang w:val="en-US"/>
        </w:rPr>
        <w:t xml:space="preserve"> </w:t>
      </w:r>
      <w:proofErr w:type="spellStart"/>
      <w:r w:rsidRPr="00BE39DB">
        <w:rPr>
          <w:lang w:val="en-US"/>
        </w:rPr>
        <w:t>Irlands</w:t>
      </w:r>
      <w:proofErr w:type="spellEnd"/>
      <w:r w:rsidRPr="00BE39DB">
        <w:rPr>
          <w:lang w:val="en-US"/>
        </w:rPr>
        <w:t xml:space="preserve"> "Disability Act" </w:t>
      </w:r>
      <w:proofErr w:type="spellStart"/>
      <w:r w:rsidRPr="00BE39DB">
        <w:rPr>
          <w:lang w:val="en-US"/>
        </w:rPr>
        <w:t>från</w:t>
      </w:r>
      <w:proofErr w:type="spellEnd"/>
      <w:r w:rsidRPr="00BE39DB">
        <w:rPr>
          <w:lang w:val="en-US"/>
        </w:rPr>
        <w:t xml:space="preserve"> 2005 </w:t>
      </w:r>
      <w:proofErr w:type="spellStart"/>
      <w:r w:rsidRPr="00BE39DB">
        <w:rPr>
          <w:lang w:val="en-US"/>
        </w:rPr>
        <w:t>beskriver</w:t>
      </w:r>
      <w:proofErr w:type="spellEnd"/>
      <w:r w:rsidRPr="00BE39DB">
        <w:rPr>
          <w:lang w:val="en-US"/>
        </w:rPr>
        <w:t xml:space="preserve"> universal design </w:t>
      </w:r>
      <w:proofErr w:type="spellStart"/>
      <w:r w:rsidRPr="00BE39DB">
        <w:rPr>
          <w:lang w:val="en-US"/>
        </w:rPr>
        <w:t>som</w:t>
      </w:r>
      <w:proofErr w:type="spellEnd"/>
      <w:r w:rsidRPr="00BE39DB">
        <w:rPr>
          <w:lang w:val="en-US"/>
        </w:rPr>
        <w:t>" The design and composition of an Environment so that it may be accessed, understood</w:t>
      </w:r>
      <w:r w:rsidR="0083255F">
        <w:rPr>
          <w:lang w:val="en-US"/>
        </w:rPr>
        <w:t xml:space="preserve"> </w:t>
      </w:r>
      <w:r w:rsidRPr="00BE39DB">
        <w:rPr>
          <w:lang w:val="en-US"/>
        </w:rPr>
        <w:t xml:space="preserve">and used" http://universaldesign.ie/What-is-Universal-Design/Policy-and-Legislation/ </w:t>
      </w:r>
    </w:p>
    <w:p w:rsidR="0083255F" w:rsidRPr="00BE39DB" w:rsidRDefault="0083255F" w:rsidP="005944DB">
      <w:pPr>
        <w:rPr>
          <w:lang w:val="en-US"/>
        </w:rPr>
      </w:pPr>
    </w:p>
    <w:p w:rsidR="005944DB" w:rsidRDefault="005944DB" w:rsidP="005944DB">
      <w:r>
        <w:t>3</w:t>
      </w:r>
      <w:r w:rsidR="0083255F">
        <w:t>.</w:t>
      </w:r>
      <w:r>
        <w:t xml:space="preserve"> </w:t>
      </w:r>
      <w:proofErr w:type="spellStart"/>
      <w:r>
        <w:t>Funktionsrätts</w:t>
      </w:r>
      <w:proofErr w:type="spellEnd"/>
      <w:r w:rsidR="00271F3F">
        <w:t xml:space="preserve"> </w:t>
      </w:r>
      <w:r>
        <w:t>CRPD är den första som tagits fram i en samskapande process med både rättighetsbärare och skyldighetsbärare. Sammanfattning av</w:t>
      </w:r>
    </w:p>
    <w:p w:rsidR="005944DB" w:rsidRDefault="005944DB" w:rsidP="005944DB">
      <w:r>
        <w:t>den allmänna kommentaren 7 för artiklarna 4.3 och 33.3 på svenska med länk till fullständig text på engelska. https: / gunktionsrattsCRPD.se/wp-content/uploads/2018/12/Allm%C3T0A4nkommentar7.pdf</w:t>
      </w:r>
    </w:p>
    <w:p w:rsidR="005944DB" w:rsidRDefault="005944DB" w:rsidP="005944DB"/>
    <w:p w:rsidR="005944DB" w:rsidRDefault="005944DB" w:rsidP="005944DB">
      <w:r>
        <w:t>4</w:t>
      </w:r>
      <w:r w:rsidR="0083255F">
        <w:t>.</w:t>
      </w:r>
      <w:r>
        <w:t xml:space="preserve"> Utredningen hänvisar kort till </w:t>
      </w:r>
      <w:proofErr w:type="spellStart"/>
      <w:r>
        <w:t>prop</w:t>
      </w:r>
      <w:proofErr w:type="spellEnd"/>
      <w:r>
        <w:t xml:space="preserve"> 2016/17:188 att "varje sektor i samhället ska utforma och bedriva sin verksamhet så att den blir tillgänglig för</w:t>
      </w:r>
    </w:p>
    <w:p w:rsidR="005944DB" w:rsidRDefault="005944DB" w:rsidP="005944DB">
      <w:r>
        <w:t>alla medborgare, inklusive personer med funktionsnedsättning, och att kostnaderna för nödvändiga anpassningsåtgärder ska finansieras inom ramen för den</w:t>
      </w:r>
    </w:p>
    <w:p w:rsidR="005944DB" w:rsidRDefault="005944DB" w:rsidP="005944DB">
      <w:r>
        <w:t>ordinarie verksamheten" I senaste budgetpropositionen står bara att ansvars- och finansieringsprincipen ska gälla (i avsnitt om funktionshinderpolitik,</w:t>
      </w:r>
    </w:p>
    <w:p w:rsidR="005944DB" w:rsidRDefault="005944DB" w:rsidP="005944DB">
      <w:r>
        <w:t xml:space="preserve">som dessvärre inte läses av många). </w:t>
      </w:r>
    </w:p>
    <w:p w:rsidR="0083255F" w:rsidRDefault="0083255F" w:rsidP="005944DB"/>
    <w:p w:rsidR="005944DB" w:rsidRDefault="005944DB" w:rsidP="005944DB">
      <w:r>
        <w:t>5</w:t>
      </w:r>
      <w:r w:rsidR="0083255F">
        <w:t>.</w:t>
      </w:r>
      <w:r>
        <w:t xml:space="preserve"> Kommunernas finansieringsprincip är mer välkänd och aktualiseras ständigt i politiken. Kan det bidra till att Sverige ofta utreder endast kostnader inte</w:t>
      </w:r>
      <w:r w:rsidR="00271F3F">
        <w:t xml:space="preserve"> </w:t>
      </w:r>
      <w:r>
        <w:t>nytta? https:</w:t>
      </w:r>
      <w:r w:rsidR="0083255F">
        <w:t xml:space="preserve"> </w:t>
      </w:r>
      <w:r>
        <w:t>I/skl.se/ekonomijuridikstatistik/ekonomiginansieringsprincipen.170</w:t>
      </w:r>
      <w:r>
        <w:lastRenderedPageBreak/>
        <w:t>9.html https:/ /www.riksdagen.se/svidokument-lagar/dokument/riksrevisionens-granskningsrapport/den-kommunala-finansieringsprincipen--tillampas</w:t>
      </w:r>
    </w:p>
    <w:p w:rsidR="005944DB" w:rsidRDefault="005944DB" w:rsidP="005944DB">
      <w:r>
        <w:t xml:space="preserve">H6B58/html </w:t>
      </w:r>
    </w:p>
    <w:p w:rsidR="0083255F" w:rsidRDefault="0083255F" w:rsidP="005944DB"/>
    <w:p w:rsidR="005944DB" w:rsidRDefault="005944DB" w:rsidP="005944DB">
      <w:r>
        <w:t>6</w:t>
      </w:r>
      <w:r w:rsidR="0083255F">
        <w:t>.</w:t>
      </w:r>
      <w:r>
        <w:t xml:space="preserve"> FN:s resolution som rör god styrning "</w:t>
      </w:r>
      <w:proofErr w:type="spellStart"/>
      <w:r>
        <w:t>governance</w:t>
      </w:r>
      <w:proofErr w:type="spellEnd"/>
      <w:r>
        <w:t>" av mänskliga rättigheter lyfter nyckelbegrepp öppenhet (</w:t>
      </w:r>
      <w:proofErr w:type="spellStart"/>
      <w:r>
        <w:t>transparency</w:t>
      </w:r>
      <w:proofErr w:type="spellEnd"/>
      <w:r>
        <w:t>), ansvar (</w:t>
      </w:r>
      <w:proofErr w:type="spellStart"/>
      <w:r>
        <w:t>responsibility</w:t>
      </w:r>
      <w:proofErr w:type="spellEnd"/>
      <w:r>
        <w:t>), ansvarighet</w:t>
      </w:r>
    </w:p>
    <w:p w:rsidR="005944DB" w:rsidRPr="0083255F" w:rsidRDefault="005944DB" w:rsidP="005944DB">
      <w:pPr>
        <w:rPr>
          <w:lang w:val="en-US"/>
        </w:rPr>
      </w:pPr>
      <w:r w:rsidRPr="00BE39DB">
        <w:rPr>
          <w:lang w:val="en-US"/>
        </w:rPr>
        <w:t xml:space="preserve">(accountability), </w:t>
      </w:r>
      <w:proofErr w:type="spellStart"/>
      <w:r w:rsidRPr="00BE39DB">
        <w:rPr>
          <w:lang w:val="en-US"/>
        </w:rPr>
        <w:t>delaktighet</w:t>
      </w:r>
      <w:proofErr w:type="spellEnd"/>
      <w:r w:rsidRPr="00BE39DB">
        <w:rPr>
          <w:lang w:val="en-US"/>
        </w:rPr>
        <w:t xml:space="preserve"> (participation) och </w:t>
      </w:r>
      <w:proofErr w:type="spellStart"/>
      <w:r w:rsidRPr="00BE39DB">
        <w:rPr>
          <w:lang w:val="en-US"/>
        </w:rPr>
        <w:t>lyhördhet</w:t>
      </w:r>
      <w:proofErr w:type="spellEnd"/>
      <w:r w:rsidRPr="00BE39DB">
        <w:rPr>
          <w:lang w:val="en-US"/>
        </w:rPr>
        <w:t xml:space="preserve"> </w:t>
      </w:r>
      <w:proofErr w:type="spellStart"/>
      <w:r w:rsidRPr="00BE39DB">
        <w:rPr>
          <w:lang w:val="en-US"/>
        </w:rPr>
        <w:t>för</w:t>
      </w:r>
      <w:proofErr w:type="spellEnd"/>
      <w:r w:rsidRPr="00BE39DB">
        <w:rPr>
          <w:lang w:val="en-US"/>
        </w:rPr>
        <w:t xml:space="preserve"> </w:t>
      </w:r>
      <w:proofErr w:type="spellStart"/>
      <w:r w:rsidRPr="00BE39DB">
        <w:rPr>
          <w:lang w:val="en-US"/>
        </w:rPr>
        <w:t>befolkningens</w:t>
      </w:r>
      <w:proofErr w:type="spellEnd"/>
      <w:r w:rsidRPr="00BE39DB">
        <w:rPr>
          <w:lang w:val="en-US"/>
        </w:rPr>
        <w:t xml:space="preserve"> </w:t>
      </w:r>
      <w:proofErr w:type="spellStart"/>
      <w:r w:rsidRPr="00BE39DB">
        <w:rPr>
          <w:lang w:val="en-US"/>
        </w:rPr>
        <w:t>behov</w:t>
      </w:r>
      <w:proofErr w:type="spellEnd"/>
      <w:r w:rsidRPr="00BE39DB">
        <w:rPr>
          <w:lang w:val="en-US"/>
        </w:rPr>
        <w:t xml:space="preserve"> (responsiveness to the needs of the people) https://www.ohchr.org/en/issues/development/goodgovernance/pages/goodgov</w:t>
      </w:r>
      <w:r>
        <w:t xml:space="preserve">emanceindex.aspx </w:t>
      </w:r>
    </w:p>
    <w:p w:rsidR="0083255F" w:rsidRDefault="0083255F" w:rsidP="005944DB"/>
    <w:p w:rsidR="005944DB" w:rsidRDefault="005944DB" w:rsidP="005944DB">
      <w:r>
        <w:t>7</w:t>
      </w:r>
      <w:r w:rsidR="0083255F">
        <w:t>.</w:t>
      </w:r>
      <w:r>
        <w:t xml:space="preserve"> Lagen om Handikappombudsmannen, HO, hade till uppgift att bevaka "funktionshindrade personers rättigheter och intressen" (1 §). HO hade befogenheter</w:t>
      </w:r>
      <w:r w:rsidR="0083255F">
        <w:t xml:space="preserve"> </w:t>
      </w:r>
      <w:r>
        <w:t>som rörde brister i lagar (2 §), initiera överläggningar (3 §) och kommuner, landsting och myndigheter hade skyldighet att lämna uppgifter och komma till</w:t>
      </w:r>
    </w:p>
    <w:p w:rsidR="005944DB" w:rsidRDefault="005944DB" w:rsidP="005944DB">
      <w:r>
        <w:t>överläggningar, fanns koppling till regeringsformen (4 §). HO http:/ /riksdagen.se/sv/dokument-lagar/dokument/svensk-forfattningssamling/lag-1994749-om-handikappombudsmannen</w:t>
      </w:r>
    </w:p>
    <w:p w:rsidR="005944DB" w:rsidRDefault="005944DB" w:rsidP="005944DB">
      <w:r>
        <w:t xml:space="preserve">sfs-1994-749 </w:t>
      </w:r>
    </w:p>
    <w:p w:rsidR="0083255F" w:rsidRDefault="0083255F" w:rsidP="005944DB"/>
    <w:p w:rsidR="005944DB" w:rsidRDefault="005944DB" w:rsidP="005944DB">
      <w:r>
        <w:t>8</w:t>
      </w:r>
      <w:r w:rsidR="0083255F">
        <w:t>.</w:t>
      </w:r>
      <w:r>
        <w:t xml:space="preserve"> Sebastian </w:t>
      </w:r>
      <w:proofErr w:type="spellStart"/>
      <w:r>
        <w:t>Wejedal</w:t>
      </w:r>
      <w:proofErr w:type="spellEnd"/>
      <w:r>
        <w:t xml:space="preserve">. Rätten till biträde Doktorsavhandling Göteborgs universitet, november 2017, https://gupea.ub.gu.se/handle/2077/53582 </w:t>
      </w:r>
    </w:p>
    <w:p w:rsidR="0083255F" w:rsidRDefault="0083255F" w:rsidP="005944DB"/>
    <w:p w:rsidR="005944DB" w:rsidRDefault="005944DB" w:rsidP="005944DB">
      <w:r>
        <w:t>9</w:t>
      </w:r>
      <w:r w:rsidR="0083255F">
        <w:t>.</w:t>
      </w:r>
      <w:r>
        <w:t xml:space="preserve"> Svenska avdelningen av Internationella juristkommissionen, Program för rättsstaten Sverige, (förväntad publicering i november 2019) </w:t>
      </w:r>
    </w:p>
    <w:p w:rsidR="0083255F" w:rsidRDefault="0083255F" w:rsidP="005944DB"/>
    <w:p w:rsidR="005944DB" w:rsidRDefault="005944DB" w:rsidP="005944DB">
      <w:r>
        <w:t>10</w:t>
      </w:r>
      <w:r w:rsidR="0083255F">
        <w:t>.</w:t>
      </w:r>
      <w:r>
        <w:t xml:space="preserve"> FN:s </w:t>
      </w:r>
      <w:proofErr w:type="spellStart"/>
      <w:r>
        <w:t>Disability</w:t>
      </w:r>
      <w:proofErr w:type="spellEnd"/>
      <w:r>
        <w:t xml:space="preserve"> </w:t>
      </w:r>
      <w:proofErr w:type="spellStart"/>
      <w:r>
        <w:t>strategy</w:t>
      </w:r>
      <w:proofErr w:type="spellEnd"/>
      <w:r>
        <w:t xml:space="preserve"> lanserades av generalsekreteraren tidigare i år. </w:t>
      </w:r>
      <w:proofErr w:type="spellStart"/>
      <w:r>
        <w:t>European</w:t>
      </w:r>
      <w:proofErr w:type="spellEnd"/>
      <w:r>
        <w:t xml:space="preserve"> </w:t>
      </w:r>
      <w:proofErr w:type="spellStart"/>
      <w:r>
        <w:t>Disability</w:t>
      </w:r>
      <w:proofErr w:type="spellEnd"/>
      <w:r>
        <w:t xml:space="preserve"> Forum driver tillsammans med flera parlamentsledamöter</w:t>
      </w:r>
    </w:p>
    <w:p w:rsidR="005944DB" w:rsidRDefault="005944DB" w:rsidP="005944DB">
      <w:r>
        <w:t>att ansvaret ska flyttas högre upp i EU-kommissionen. http:/ /www.edf-feph.org/newsroom/news/meps-and-organisations-call-move-commissions-disability-unit</w:t>
      </w:r>
    </w:p>
    <w:p w:rsidR="005944DB" w:rsidRDefault="005944DB" w:rsidP="005944DB"/>
    <w:p w:rsidR="005944DB" w:rsidRDefault="005944DB" w:rsidP="005944DB">
      <w:r>
        <w:lastRenderedPageBreak/>
        <w:t>11</w:t>
      </w:r>
      <w:r w:rsidR="0083255F">
        <w:t>.</w:t>
      </w:r>
      <w:r>
        <w:t xml:space="preserve"> Den särskilda utredaren Kerstin </w:t>
      </w:r>
      <w:proofErr w:type="spellStart"/>
      <w:r>
        <w:t>Evelius</w:t>
      </w:r>
      <w:proofErr w:type="spellEnd"/>
      <w:r>
        <w:t xml:space="preserve"> föreslår bland annat en tioårig strategi för psykisk hälsa för perioden </w:t>
      </w:r>
      <w:proofErr w:type="gramStart"/>
      <w:r>
        <w:t>2020-2030</w:t>
      </w:r>
      <w:proofErr w:type="gramEnd"/>
      <w:r>
        <w:t>, tydliga och mätbara nationella</w:t>
      </w:r>
    </w:p>
    <w:p w:rsidR="005944DB" w:rsidRDefault="005944DB" w:rsidP="005944DB">
      <w:r>
        <w:t xml:space="preserve">mål, samt etableringen av ett Agenda 2030-sekretariat i Regeringskansliet. </w:t>
      </w:r>
    </w:p>
    <w:p w:rsidR="005944DB" w:rsidRDefault="005944DB" w:rsidP="005944DB">
      <w:r>
        <w:t xml:space="preserve">https:/ / www.regeringen.se/pressmeddelanden/ 2019 / 01 /utredning-om-insatser-inom-psykisk-halsa-overlamnad-till-regeringen/ </w:t>
      </w:r>
    </w:p>
    <w:p w:rsidR="005944DB" w:rsidRDefault="005944DB" w:rsidP="005944DB"/>
    <w:p w:rsidR="00264BD9" w:rsidRDefault="00264BD9"/>
    <w:sectPr w:rsidR="00264BD9" w:rsidSect="00B979B4">
      <w:headerReference w:type="even" r:id="rId4"/>
      <w:headerReference w:type="default" r:id="rId5"/>
      <w:footerReference w:type="even" r:id="rId6"/>
      <w:footerReference w:type="default" r:id="rId7"/>
      <w:headerReference w:type="first" r:id="rId8"/>
      <w:footerReference w:type="first" r:id="rId9"/>
      <w:pgSz w:w="11906" w:h="16838" w:code="9"/>
      <w:pgMar w:top="1701" w:right="1418" w:bottom="2268" w:left="2268" w:header="709"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04" w:rsidRDefault="008132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949" w:rsidRDefault="008132C6" w:rsidP="00B979B4">
    <w:pPr>
      <w:pStyle w:val="Sidfot"/>
      <w:tabs>
        <w:tab w:val="clear" w:pos="4536"/>
        <w:tab w:val="center" w:pos="3686"/>
      </w:tabs>
    </w:pPr>
    <w:r>
      <w:tab/>
    </w:r>
    <w:r>
      <w:fldChar w:fldCharType="begin"/>
    </w:r>
    <w:r>
      <w:instrText xml:space="preserve"> PAGE  \* Arabic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D8" w:rsidRPr="00DC7AD9" w:rsidRDefault="008132C6" w:rsidP="00DE65D8">
    <w:pPr>
      <w:widowControl w:val="0"/>
      <w:autoSpaceDE w:val="0"/>
      <w:autoSpaceDN w:val="0"/>
      <w:adjustRightInd w:val="0"/>
      <w:spacing w:line="288" w:lineRule="auto"/>
      <w:ind w:left="-993"/>
      <w:textAlignment w:val="baseline"/>
      <w:rPr>
        <w:rFonts w:ascii="Calibri" w:hAnsi="Calibri" w:cs="Calibri"/>
        <w:b/>
        <w:bCs/>
        <w:color w:val="000000"/>
        <w:spacing w:val="-6"/>
        <w:sz w:val="22"/>
        <w:szCs w:val="26"/>
      </w:rPr>
    </w:pPr>
    <w:r w:rsidRPr="00DC7AD9">
      <w:rPr>
        <w:rFonts w:ascii="Calibri" w:hAnsi="Calibri" w:cs="Calibri"/>
        <w:b/>
        <w:bCs/>
        <w:noProof/>
        <w:color w:val="000000"/>
        <w:spacing w:val="-6"/>
        <w:sz w:val="22"/>
        <w:szCs w:val="26"/>
      </w:rPr>
      <w:drawing>
        <wp:inline distT="0" distB="0" distL="0" distR="0" wp14:anchorId="5F3C1BCD" wp14:editId="20037984">
          <wp:extent cx="5958205" cy="71755"/>
          <wp:effectExtent l="0" t="0" r="4445" b="4445"/>
          <wp:docPr id="2" name="Bild 2"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ckad linje fler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205" cy="71755"/>
                  </a:xfrm>
                  <a:prstGeom prst="rect">
                    <a:avLst/>
                  </a:prstGeom>
                  <a:noFill/>
                  <a:ln>
                    <a:noFill/>
                  </a:ln>
                </pic:spPr>
              </pic:pic>
            </a:graphicData>
          </a:graphic>
        </wp:inline>
      </w:drawing>
    </w:r>
  </w:p>
  <w:p w:rsidR="00DE65D8" w:rsidRPr="00DC7AD9" w:rsidRDefault="008132C6" w:rsidP="00DE65D8">
    <w:pPr>
      <w:widowControl w:val="0"/>
      <w:autoSpaceDE w:val="0"/>
      <w:autoSpaceDN w:val="0"/>
      <w:adjustRightInd w:val="0"/>
      <w:spacing w:before="240" w:line="288" w:lineRule="auto"/>
      <w:ind w:left="-993"/>
      <w:textAlignment w:val="baseline"/>
      <w:rPr>
        <w:rFonts w:ascii="Calibri" w:hAnsi="Calibri" w:cs="Calibri"/>
        <w:b/>
        <w:bCs/>
        <w:color w:val="000000"/>
        <w:spacing w:val="-6"/>
        <w:sz w:val="23"/>
        <w:szCs w:val="23"/>
      </w:rPr>
    </w:pPr>
    <w:r w:rsidRPr="00DC7AD9">
      <w:rPr>
        <w:rFonts w:ascii="Calibri" w:hAnsi="Calibri" w:cs="Calibri"/>
        <w:b/>
        <w:bCs/>
        <w:color w:val="000000"/>
        <w:spacing w:val="-6"/>
        <w:sz w:val="23"/>
        <w:szCs w:val="23"/>
      </w:rPr>
      <w:t>Synskadades Riksförbund</w:t>
    </w:r>
  </w:p>
  <w:p w:rsidR="00590949" w:rsidRPr="00DC7AD9" w:rsidRDefault="008132C6" w:rsidP="00045CA9">
    <w:pPr>
      <w:widowControl w:val="0"/>
      <w:tabs>
        <w:tab w:val="left" w:pos="2835"/>
        <w:tab w:val="left" w:pos="3402"/>
        <w:tab w:val="left" w:pos="5060"/>
        <w:tab w:val="left" w:pos="6237"/>
      </w:tabs>
      <w:autoSpaceDE w:val="0"/>
      <w:autoSpaceDN w:val="0"/>
      <w:adjustRightInd w:val="0"/>
      <w:ind w:left="-992"/>
      <w:textAlignment w:val="baseline"/>
      <w:rPr>
        <w:rFonts w:ascii="Calibri" w:hAnsi="Calibri" w:cs="Calibri"/>
        <w:color w:val="000000"/>
        <w:spacing w:val="-6"/>
        <w:sz w:val="23"/>
        <w:szCs w:val="23"/>
      </w:rPr>
    </w:pPr>
    <w:r w:rsidRPr="00DC7AD9">
      <w:rPr>
        <w:rFonts w:ascii="Calibri" w:hAnsi="Calibri" w:cs="Calibri"/>
        <w:color w:val="000000"/>
        <w:spacing w:val="-6"/>
        <w:sz w:val="23"/>
        <w:szCs w:val="23"/>
      </w:rPr>
      <w:t>Sandsborgsvägen 52</w:t>
    </w:r>
    <w:r w:rsidRPr="00DC7AD9">
      <w:rPr>
        <w:rFonts w:ascii="Calibri" w:hAnsi="Calibri" w:cs="Calibri"/>
        <w:color w:val="000000"/>
        <w:spacing w:val="-6"/>
        <w:sz w:val="23"/>
        <w:szCs w:val="23"/>
      </w:rPr>
      <w:tab/>
    </w:r>
    <w:proofErr w:type="spellStart"/>
    <w:r w:rsidRPr="00DC7AD9">
      <w:rPr>
        <w:rFonts w:ascii="Calibri" w:hAnsi="Calibri" w:cs="Calibri"/>
        <w:color w:val="000000"/>
        <w:spacing w:val="-6"/>
        <w:sz w:val="23"/>
        <w:szCs w:val="23"/>
      </w:rPr>
      <w:t>t</w:t>
    </w:r>
    <w:r w:rsidRPr="00DC7AD9">
      <w:rPr>
        <w:rFonts w:ascii="Calibri" w:hAnsi="Calibri" w:cs="Calibri"/>
        <w:color w:val="000000"/>
        <w:spacing w:val="-6"/>
        <w:sz w:val="23"/>
        <w:szCs w:val="23"/>
      </w:rPr>
      <w:t>el</w:t>
    </w:r>
    <w:proofErr w:type="spellEnd"/>
    <w:r w:rsidRPr="00DC7AD9">
      <w:rPr>
        <w:rFonts w:ascii="Calibri" w:hAnsi="Calibri" w:cs="Calibri"/>
        <w:color w:val="000000"/>
        <w:spacing w:val="-6"/>
        <w:sz w:val="23"/>
        <w:szCs w:val="23"/>
      </w:rPr>
      <w:t xml:space="preserve"> </w:t>
    </w:r>
    <w:proofErr w:type="spellStart"/>
    <w:r>
      <w:rPr>
        <w:rFonts w:ascii="Calibri" w:hAnsi="Calibri" w:cs="Calibri"/>
        <w:color w:val="000000"/>
        <w:spacing w:val="-6"/>
        <w:sz w:val="23"/>
        <w:szCs w:val="23"/>
      </w:rPr>
      <w:t>vx</w:t>
    </w:r>
    <w:proofErr w:type="spellEnd"/>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r w:rsidRPr="00DC7AD9">
      <w:rPr>
        <w:rFonts w:ascii="Calibri" w:hAnsi="Calibri" w:cs="Calibri"/>
        <w:color w:val="000000"/>
        <w:spacing w:val="-6"/>
        <w:sz w:val="23"/>
        <w:szCs w:val="23"/>
      </w:rPr>
      <w:t>08-39 90 00</w:t>
    </w:r>
    <w:r w:rsidRPr="00DC7AD9">
      <w:rPr>
        <w:rFonts w:ascii="Calibri" w:hAnsi="Calibri" w:cs="Calibri"/>
        <w:color w:val="000000"/>
        <w:spacing w:val="-6"/>
        <w:sz w:val="23"/>
        <w:szCs w:val="23"/>
      </w:rPr>
      <w:tab/>
    </w:r>
    <w:r w:rsidRPr="00DC7AD9">
      <w:rPr>
        <w:rFonts w:ascii="Calibri" w:hAnsi="Calibri" w:cs="Calibri"/>
        <w:color w:val="000000"/>
        <w:spacing w:val="-6"/>
        <w:sz w:val="23"/>
        <w:szCs w:val="23"/>
      </w:rPr>
      <w:tab/>
    </w:r>
    <w:r w:rsidRPr="00DC7AD9">
      <w:rPr>
        <w:rFonts w:ascii="Calibri" w:hAnsi="Calibri" w:cs="Calibri"/>
        <w:color w:val="000000"/>
        <w:spacing w:val="-6"/>
        <w:sz w:val="23"/>
        <w:szCs w:val="23"/>
      </w:rPr>
      <w:t>p</w:t>
    </w:r>
    <w:r w:rsidRPr="00DC7AD9">
      <w:rPr>
        <w:rFonts w:ascii="Calibri" w:hAnsi="Calibri" w:cs="Calibri"/>
        <w:color w:val="000000"/>
        <w:spacing w:val="-6"/>
        <w:sz w:val="23"/>
        <w:szCs w:val="23"/>
      </w:rPr>
      <w:t>g</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proofErr w:type="gramStart"/>
    <w:r w:rsidRPr="00DC7AD9">
      <w:rPr>
        <w:rFonts w:ascii="Calibri" w:hAnsi="Calibri" w:cs="Calibri"/>
        <w:color w:val="000000"/>
        <w:spacing w:val="-6"/>
        <w:sz w:val="23"/>
        <w:szCs w:val="23"/>
      </w:rPr>
      <w:t>4869-4</w:t>
    </w:r>
    <w:proofErr w:type="gramEnd"/>
  </w:p>
  <w:p w:rsidR="00590949" w:rsidRPr="00DC7AD9" w:rsidRDefault="008132C6" w:rsidP="00045CA9">
    <w:pPr>
      <w:pStyle w:val="Sidfot"/>
      <w:tabs>
        <w:tab w:val="left" w:pos="2835"/>
        <w:tab w:val="left" w:pos="3402"/>
        <w:tab w:val="left" w:pos="6237"/>
      </w:tabs>
      <w:ind w:left="-992"/>
      <w:rPr>
        <w:rFonts w:ascii="Calibri" w:hAnsi="Calibri" w:cs="Calibri"/>
        <w:color w:val="000000"/>
        <w:spacing w:val="-6"/>
        <w:sz w:val="23"/>
        <w:szCs w:val="23"/>
      </w:rPr>
    </w:pPr>
    <w:r w:rsidRPr="00DC7AD9">
      <w:rPr>
        <w:rFonts w:ascii="Calibri" w:hAnsi="Calibri" w:cs="Calibri"/>
        <w:color w:val="000000"/>
        <w:spacing w:val="-6"/>
        <w:sz w:val="23"/>
        <w:szCs w:val="23"/>
      </w:rPr>
      <w:t>122 88 Enskede</w:t>
    </w:r>
    <w:r w:rsidRPr="00DC7AD9">
      <w:rPr>
        <w:rFonts w:ascii="Calibri" w:hAnsi="Calibri" w:cs="Calibri"/>
        <w:color w:val="000000"/>
        <w:spacing w:val="-6"/>
        <w:sz w:val="23"/>
        <w:szCs w:val="23"/>
      </w:rPr>
      <w:tab/>
    </w:r>
    <w:r>
      <w:rPr>
        <w:rFonts w:ascii="Calibri" w:hAnsi="Calibri" w:cs="Calibri"/>
        <w:color w:val="000000"/>
        <w:spacing w:val="-6"/>
        <w:sz w:val="23"/>
        <w:szCs w:val="23"/>
      </w:rPr>
      <w:t xml:space="preserve">webbplats: </w:t>
    </w:r>
    <w:hyperlink r:id="rId2" w:history="1">
      <w:r w:rsidRPr="00DC7AD9">
        <w:rPr>
          <w:rStyle w:val="Hyperlnk"/>
          <w:rFonts w:ascii="Calibri" w:hAnsi="Calibri" w:cs="Calibri"/>
          <w:spacing w:val="-6"/>
          <w:sz w:val="23"/>
          <w:szCs w:val="23"/>
        </w:rPr>
        <w:t>www.srf.nu</w:t>
      </w:r>
    </w:hyperlink>
    <w:r w:rsidRPr="00DC7AD9">
      <w:rPr>
        <w:rFonts w:ascii="Calibri" w:hAnsi="Calibri" w:cs="Calibri"/>
        <w:color w:val="000000"/>
        <w:spacing w:val="-6"/>
        <w:sz w:val="23"/>
        <w:szCs w:val="23"/>
      </w:rPr>
      <w:tab/>
    </w:r>
    <w:r w:rsidRPr="00DC7AD9">
      <w:rPr>
        <w:rFonts w:ascii="Calibri" w:hAnsi="Calibri" w:cs="Calibri"/>
        <w:color w:val="000000"/>
        <w:spacing w:val="-6"/>
        <w:sz w:val="23"/>
        <w:szCs w:val="23"/>
      </w:rPr>
      <w:t>b</w:t>
    </w:r>
    <w:r w:rsidRPr="00DC7AD9">
      <w:rPr>
        <w:rFonts w:ascii="Calibri" w:hAnsi="Calibri" w:cs="Calibri"/>
        <w:color w:val="000000"/>
        <w:spacing w:val="-6"/>
        <w:sz w:val="23"/>
        <w:szCs w:val="23"/>
      </w:rPr>
      <w:t>g</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573-31 91</w:t>
    </w:r>
  </w:p>
  <w:p w:rsidR="00590949" w:rsidRPr="00DC7AD9" w:rsidRDefault="008132C6" w:rsidP="00045CA9">
    <w:pPr>
      <w:pStyle w:val="Sidfot"/>
      <w:tabs>
        <w:tab w:val="left" w:pos="2835"/>
        <w:tab w:val="left" w:pos="6237"/>
      </w:tabs>
      <w:ind w:left="-992" w:right="-569"/>
      <w:rPr>
        <w:rFonts w:ascii="Calibri" w:hAnsi="Calibri" w:cs="Calibri"/>
        <w:sz w:val="23"/>
        <w:szCs w:val="23"/>
      </w:rPr>
    </w:pPr>
    <w:proofErr w:type="spellStart"/>
    <w:r w:rsidRPr="00DC7AD9">
      <w:rPr>
        <w:rFonts w:ascii="Calibri" w:hAnsi="Calibri" w:cs="Calibri"/>
        <w:color w:val="000000"/>
        <w:spacing w:val="-6"/>
        <w:sz w:val="23"/>
        <w:szCs w:val="23"/>
      </w:rPr>
      <w:t>o</w:t>
    </w:r>
    <w:r w:rsidRPr="00DC7AD9">
      <w:rPr>
        <w:rFonts w:ascii="Calibri" w:hAnsi="Calibri" w:cs="Calibri"/>
        <w:color w:val="000000"/>
        <w:spacing w:val="-6"/>
        <w:sz w:val="23"/>
        <w:szCs w:val="23"/>
      </w:rPr>
      <w:t>rg</w:t>
    </w:r>
    <w:proofErr w:type="spellEnd"/>
    <w:r w:rsidRPr="00DC7AD9">
      <w:rPr>
        <w:rFonts w:ascii="Calibri" w:hAnsi="Calibri" w:cs="Calibri"/>
        <w:color w:val="000000"/>
        <w:spacing w:val="-6"/>
        <w:sz w:val="23"/>
        <w:szCs w:val="23"/>
      </w:rPr>
      <w:t xml:space="preserve"> nr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proofErr w:type="gramStart"/>
    <w:r w:rsidRPr="00DC7AD9">
      <w:rPr>
        <w:rFonts w:ascii="Calibri" w:hAnsi="Calibri" w:cs="Calibri"/>
        <w:color w:val="000000"/>
        <w:spacing w:val="-6"/>
        <w:sz w:val="23"/>
        <w:szCs w:val="23"/>
      </w:rPr>
      <w:t>802007-3436</w:t>
    </w:r>
    <w:proofErr w:type="gramEnd"/>
    <w:r w:rsidRPr="00DC7AD9">
      <w:rPr>
        <w:rFonts w:ascii="Calibri" w:hAnsi="Calibri" w:cs="Calibri"/>
        <w:color w:val="000000"/>
        <w:spacing w:val="-6"/>
        <w:sz w:val="23"/>
        <w:szCs w:val="23"/>
      </w:rPr>
      <w:tab/>
    </w:r>
    <w:proofErr w:type="spellStart"/>
    <w:r w:rsidRPr="00DC7AD9">
      <w:rPr>
        <w:rFonts w:ascii="Calibri" w:hAnsi="Calibri" w:cs="Calibri"/>
        <w:color w:val="000000"/>
        <w:spacing w:val="-6"/>
        <w:sz w:val="23"/>
        <w:szCs w:val="23"/>
      </w:rPr>
      <w:t>facebook</w:t>
    </w:r>
    <w:proofErr w:type="spellEnd"/>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w:t>
    </w:r>
    <w:proofErr w:type="spellStart"/>
    <w:r w:rsidRPr="00DC7AD9">
      <w:rPr>
        <w:rFonts w:ascii="Calibri" w:hAnsi="Calibri" w:cs="Calibri"/>
        <w:color w:val="000000"/>
        <w:spacing w:val="-6"/>
        <w:sz w:val="23"/>
        <w:szCs w:val="23"/>
      </w:rPr>
      <w:t>synskadadesriksforbund</w:t>
    </w:r>
    <w:proofErr w:type="spellEnd"/>
    <w:r w:rsidRPr="00DC7AD9">
      <w:rPr>
        <w:rFonts w:ascii="Calibri" w:hAnsi="Calibri" w:cs="Calibri"/>
        <w:color w:val="000000"/>
        <w:spacing w:val="-6"/>
        <w:sz w:val="23"/>
        <w:szCs w:val="23"/>
      </w:rPr>
      <w:t xml:space="preserve"> </w:t>
    </w:r>
    <w:r>
      <w:rPr>
        <w:rFonts w:ascii="Calibri" w:hAnsi="Calibri" w:cs="Calibri"/>
        <w:color w:val="000000"/>
        <w:spacing w:val="-6"/>
        <w:sz w:val="23"/>
        <w:szCs w:val="23"/>
      </w:rPr>
      <w:tab/>
    </w:r>
    <w:r w:rsidRPr="00DC7AD9">
      <w:rPr>
        <w:rFonts w:ascii="Calibri" w:hAnsi="Calibri" w:cs="Calibri"/>
        <w:color w:val="000000"/>
        <w:spacing w:val="-6"/>
        <w:sz w:val="23"/>
        <w:szCs w:val="23"/>
      </w:rPr>
      <w:t>p</w:t>
    </w:r>
    <w:r w:rsidRPr="00DC7AD9">
      <w:rPr>
        <w:rFonts w:ascii="Calibri" w:hAnsi="Calibri" w:cs="Calibri"/>
        <w:color w:val="000000"/>
        <w:spacing w:val="-6"/>
        <w:sz w:val="23"/>
        <w:szCs w:val="23"/>
      </w:rPr>
      <w:t>g för gåvor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90 00 90-2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04" w:rsidRDefault="008132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04" w:rsidRDefault="008132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949" w:rsidRPr="00F919BE" w:rsidRDefault="008132C6" w:rsidP="00187F4C">
    <w:pPr>
      <w:pStyle w:val="Sidhuvud"/>
      <w:tabs>
        <w:tab w:val="left" w:pos="4536"/>
      </w:tabs>
      <w:ind w:left="-993"/>
      <w:rPr>
        <w:rFonts w:cs="Arial"/>
      </w:rPr>
    </w:pPr>
    <w:r>
      <w:rPr>
        <w:rFonts w:cs="Arial"/>
        <w:noProof/>
        <w:sz w:val="24"/>
        <w:szCs w:val="24"/>
      </w:rPr>
      <w:t xml:space="preserve"> </w:t>
    </w:r>
    <w:r>
      <w:rPr>
        <w:rFonts w:cs="Arial"/>
        <w:noProof/>
        <w:sz w:val="24"/>
        <w:szCs w:val="24"/>
      </w:rPr>
      <w:drawing>
        <wp:inline distT="0" distB="0" distL="0" distR="0" wp14:anchorId="6C554AEB" wp14:editId="1F2811B5">
          <wp:extent cx="1929130" cy="485775"/>
          <wp:effectExtent l="0" t="0" r="0" b="9525"/>
          <wp:docPr id="1" name="Bild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485775"/>
                  </a:xfrm>
                  <a:prstGeom prst="rect">
                    <a:avLst/>
                  </a:prstGeom>
                  <a:noFill/>
                  <a:ln>
                    <a:noFill/>
                  </a:ln>
                </pic:spPr>
              </pic:pic>
            </a:graphicData>
          </a:graphic>
        </wp:inline>
      </w:drawing>
    </w:r>
    <w:r>
      <w:rPr>
        <w:b/>
        <w:noProof/>
        <w:color w:val="000080"/>
        <w:sz w:val="32"/>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DB"/>
    <w:rsid w:val="00017FF8"/>
    <w:rsid w:val="00026B94"/>
    <w:rsid w:val="00047106"/>
    <w:rsid w:val="000509CA"/>
    <w:rsid w:val="000518FE"/>
    <w:rsid w:val="00061469"/>
    <w:rsid w:val="00062F09"/>
    <w:rsid w:val="00065957"/>
    <w:rsid w:val="00066D9A"/>
    <w:rsid w:val="00070625"/>
    <w:rsid w:val="00082F3C"/>
    <w:rsid w:val="00083580"/>
    <w:rsid w:val="00084140"/>
    <w:rsid w:val="000925C4"/>
    <w:rsid w:val="0009333D"/>
    <w:rsid w:val="00094F02"/>
    <w:rsid w:val="000B0B79"/>
    <w:rsid w:val="000B0D0A"/>
    <w:rsid w:val="000B184C"/>
    <w:rsid w:val="000C019A"/>
    <w:rsid w:val="000C1212"/>
    <w:rsid w:val="000C3B00"/>
    <w:rsid w:val="000D40E3"/>
    <w:rsid w:val="000E1383"/>
    <w:rsid w:val="000F4B35"/>
    <w:rsid w:val="000F563B"/>
    <w:rsid w:val="000F7E8E"/>
    <w:rsid w:val="00103E21"/>
    <w:rsid w:val="00106703"/>
    <w:rsid w:val="00113487"/>
    <w:rsid w:val="00113A9D"/>
    <w:rsid w:val="00113B79"/>
    <w:rsid w:val="0011655E"/>
    <w:rsid w:val="001211F5"/>
    <w:rsid w:val="001335DD"/>
    <w:rsid w:val="00181CD6"/>
    <w:rsid w:val="001869B3"/>
    <w:rsid w:val="00187CCD"/>
    <w:rsid w:val="00190125"/>
    <w:rsid w:val="00193891"/>
    <w:rsid w:val="00194794"/>
    <w:rsid w:val="001970F8"/>
    <w:rsid w:val="001A08B5"/>
    <w:rsid w:val="001A233B"/>
    <w:rsid w:val="001A3F72"/>
    <w:rsid w:val="001A6211"/>
    <w:rsid w:val="001A7808"/>
    <w:rsid w:val="001B0BDB"/>
    <w:rsid w:val="001B28A6"/>
    <w:rsid w:val="001B3BCE"/>
    <w:rsid w:val="001B56C5"/>
    <w:rsid w:val="001B7959"/>
    <w:rsid w:val="001C08D2"/>
    <w:rsid w:val="001C3CDF"/>
    <w:rsid w:val="001C3E4B"/>
    <w:rsid w:val="001D3EF3"/>
    <w:rsid w:val="001D4D65"/>
    <w:rsid w:val="001E0311"/>
    <w:rsid w:val="001E1E60"/>
    <w:rsid w:val="001F4064"/>
    <w:rsid w:val="001F4AF3"/>
    <w:rsid w:val="001F7D85"/>
    <w:rsid w:val="00204089"/>
    <w:rsid w:val="00214D6D"/>
    <w:rsid w:val="00216E05"/>
    <w:rsid w:val="00225E5E"/>
    <w:rsid w:val="00245394"/>
    <w:rsid w:val="0025085C"/>
    <w:rsid w:val="0026120E"/>
    <w:rsid w:val="002638C3"/>
    <w:rsid w:val="00264BD9"/>
    <w:rsid w:val="00271F3F"/>
    <w:rsid w:val="00275711"/>
    <w:rsid w:val="00293BCC"/>
    <w:rsid w:val="00294610"/>
    <w:rsid w:val="002955B9"/>
    <w:rsid w:val="002975B0"/>
    <w:rsid w:val="002A14AC"/>
    <w:rsid w:val="002A7D9B"/>
    <w:rsid w:val="002B04BF"/>
    <w:rsid w:val="002B094C"/>
    <w:rsid w:val="002B4306"/>
    <w:rsid w:val="002D0E0E"/>
    <w:rsid w:val="002D5F22"/>
    <w:rsid w:val="002E5BA0"/>
    <w:rsid w:val="00303585"/>
    <w:rsid w:val="003065A7"/>
    <w:rsid w:val="00306BD8"/>
    <w:rsid w:val="0031375F"/>
    <w:rsid w:val="0031445B"/>
    <w:rsid w:val="003174FB"/>
    <w:rsid w:val="003255A6"/>
    <w:rsid w:val="0033174F"/>
    <w:rsid w:val="00350A00"/>
    <w:rsid w:val="0035706B"/>
    <w:rsid w:val="00360496"/>
    <w:rsid w:val="003662C9"/>
    <w:rsid w:val="003662EC"/>
    <w:rsid w:val="003706B0"/>
    <w:rsid w:val="00375489"/>
    <w:rsid w:val="00382014"/>
    <w:rsid w:val="003826F5"/>
    <w:rsid w:val="0038340B"/>
    <w:rsid w:val="00385686"/>
    <w:rsid w:val="00390540"/>
    <w:rsid w:val="00393A00"/>
    <w:rsid w:val="003C29CA"/>
    <w:rsid w:val="003C475C"/>
    <w:rsid w:val="003D5541"/>
    <w:rsid w:val="003D78BF"/>
    <w:rsid w:val="003E2DC2"/>
    <w:rsid w:val="003E712C"/>
    <w:rsid w:val="003F2A72"/>
    <w:rsid w:val="003F6B6D"/>
    <w:rsid w:val="00402527"/>
    <w:rsid w:val="00407BD9"/>
    <w:rsid w:val="00426E50"/>
    <w:rsid w:val="00455383"/>
    <w:rsid w:val="00457A17"/>
    <w:rsid w:val="00464600"/>
    <w:rsid w:val="00466ED1"/>
    <w:rsid w:val="00473AE4"/>
    <w:rsid w:val="00480CF0"/>
    <w:rsid w:val="00482B55"/>
    <w:rsid w:val="0049237F"/>
    <w:rsid w:val="0049427F"/>
    <w:rsid w:val="004B10F6"/>
    <w:rsid w:val="004B335F"/>
    <w:rsid w:val="004D6355"/>
    <w:rsid w:val="004E6478"/>
    <w:rsid w:val="00500F04"/>
    <w:rsid w:val="00504965"/>
    <w:rsid w:val="005079C8"/>
    <w:rsid w:val="00507A23"/>
    <w:rsid w:val="0051000A"/>
    <w:rsid w:val="00510638"/>
    <w:rsid w:val="0051138C"/>
    <w:rsid w:val="00512503"/>
    <w:rsid w:val="005152D6"/>
    <w:rsid w:val="00515FFB"/>
    <w:rsid w:val="005174B3"/>
    <w:rsid w:val="00521243"/>
    <w:rsid w:val="00524B7C"/>
    <w:rsid w:val="005347FE"/>
    <w:rsid w:val="005407D6"/>
    <w:rsid w:val="005456C5"/>
    <w:rsid w:val="005514C5"/>
    <w:rsid w:val="005623EF"/>
    <w:rsid w:val="005671CE"/>
    <w:rsid w:val="00575840"/>
    <w:rsid w:val="0057693B"/>
    <w:rsid w:val="00576E41"/>
    <w:rsid w:val="0058100B"/>
    <w:rsid w:val="0059301C"/>
    <w:rsid w:val="005944DB"/>
    <w:rsid w:val="005A514A"/>
    <w:rsid w:val="005B31AE"/>
    <w:rsid w:val="005C0052"/>
    <w:rsid w:val="005E068A"/>
    <w:rsid w:val="005F1B9D"/>
    <w:rsid w:val="005F378A"/>
    <w:rsid w:val="006007BA"/>
    <w:rsid w:val="00601592"/>
    <w:rsid w:val="00601E89"/>
    <w:rsid w:val="006040B8"/>
    <w:rsid w:val="00605E80"/>
    <w:rsid w:val="00610897"/>
    <w:rsid w:val="006131D4"/>
    <w:rsid w:val="00617C90"/>
    <w:rsid w:val="0062355C"/>
    <w:rsid w:val="006342BE"/>
    <w:rsid w:val="00637676"/>
    <w:rsid w:val="00651975"/>
    <w:rsid w:val="00652979"/>
    <w:rsid w:val="00655E35"/>
    <w:rsid w:val="00656E25"/>
    <w:rsid w:val="00672B10"/>
    <w:rsid w:val="006A5A22"/>
    <w:rsid w:val="006B23DA"/>
    <w:rsid w:val="006B47B8"/>
    <w:rsid w:val="006B73CE"/>
    <w:rsid w:val="006B7A38"/>
    <w:rsid w:val="006B7F7A"/>
    <w:rsid w:val="006D17CC"/>
    <w:rsid w:val="006D3CC6"/>
    <w:rsid w:val="006D4909"/>
    <w:rsid w:val="006E0BA5"/>
    <w:rsid w:val="006E15FB"/>
    <w:rsid w:val="006E4777"/>
    <w:rsid w:val="006E7436"/>
    <w:rsid w:val="006F4FA7"/>
    <w:rsid w:val="006F5AB3"/>
    <w:rsid w:val="006F7F4B"/>
    <w:rsid w:val="00700C4A"/>
    <w:rsid w:val="00710E07"/>
    <w:rsid w:val="0071419C"/>
    <w:rsid w:val="0071642F"/>
    <w:rsid w:val="00722648"/>
    <w:rsid w:val="00730D31"/>
    <w:rsid w:val="007325B0"/>
    <w:rsid w:val="00732CE9"/>
    <w:rsid w:val="00737F4D"/>
    <w:rsid w:val="00744789"/>
    <w:rsid w:val="0075340E"/>
    <w:rsid w:val="00755B4D"/>
    <w:rsid w:val="0075727C"/>
    <w:rsid w:val="00765D37"/>
    <w:rsid w:val="0077234F"/>
    <w:rsid w:val="007770D5"/>
    <w:rsid w:val="0077778F"/>
    <w:rsid w:val="00787842"/>
    <w:rsid w:val="007A7AA7"/>
    <w:rsid w:val="007B56E8"/>
    <w:rsid w:val="007C0913"/>
    <w:rsid w:val="007C2116"/>
    <w:rsid w:val="007C76B5"/>
    <w:rsid w:val="007D5AA4"/>
    <w:rsid w:val="007E0DDD"/>
    <w:rsid w:val="007E0F07"/>
    <w:rsid w:val="007E3C43"/>
    <w:rsid w:val="007E796D"/>
    <w:rsid w:val="007F5F5C"/>
    <w:rsid w:val="007F778B"/>
    <w:rsid w:val="00803FFB"/>
    <w:rsid w:val="008073B0"/>
    <w:rsid w:val="008132C6"/>
    <w:rsid w:val="008224E3"/>
    <w:rsid w:val="008231B8"/>
    <w:rsid w:val="0082352F"/>
    <w:rsid w:val="0083255F"/>
    <w:rsid w:val="00841A2E"/>
    <w:rsid w:val="00845C2A"/>
    <w:rsid w:val="00852B65"/>
    <w:rsid w:val="00852E7F"/>
    <w:rsid w:val="0085507A"/>
    <w:rsid w:val="00855F80"/>
    <w:rsid w:val="008562D8"/>
    <w:rsid w:val="00861A42"/>
    <w:rsid w:val="0086672C"/>
    <w:rsid w:val="00873B0D"/>
    <w:rsid w:val="008746D5"/>
    <w:rsid w:val="00875946"/>
    <w:rsid w:val="00885B2B"/>
    <w:rsid w:val="00886A54"/>
    <w:rsid w:val="00887D30"/>
    <w:rsid w:val="0089129E"/>
    <w:rsid w:val="008917E4"/>
    <w:rsid w:val="008A21F0"/>
    <w:rsid w:val="008A3752"/>
    <w:rsid w:val="008B03B5"/>
    <w:rsid w:val="008C1F60"/>
    <w:rsid w:val="008C27F8"/>
    <w:rsid w:val="008C645A"/>
    <w:rsid w:val="008C654E"/>
    <w:rsid w:val="008C6AE8"/>
    <w:rsid w:val="008D3087"/>
    <w:rsid w:val="008D49F2"/>
    <w:rsid w:val="00913CC5"/>
    <w:rsid w:val="009217E5"/>
    <w:rsid w:val="00940CFB"/>
    <w:rsid w:val="00942F2F"/>
    <w:rsid w:val="00945246"/>
    <w:rsid w:val="009479A2"/>
    <w:rsid w:val="009527AF"/>
    <w:rsid w:val="00956A50"/>
    <w:rsid w:val="00956ED5"/>
    <w:rsid w:val="009649AF"/>
    <w:rsid w:val="0096758E"/>
    <w:rsid w:val="00973D19"/>
    <w:rsid w:val="00973E1E"/>
    <w:rsid w:val="00986E9E"/>
    <w:rsid w:val="00991397"/>
    <w:rsid w:val="009A60CE"/>
    <w:rsid w:val="009A69AF"/>
    <w:rsid w:val="009B5F8D"/>
    <w:rsid w:val="009B6FF3"/>
    <w:rsid w:val="009D386F"/>
    <w:rsid w:val="009E352B"/>
    <w:rsid w:val="00A017B2"/>
    <w:rsid w:val="00A02EFA"/>
    <w:rsid w:val="00A07A59"/>
    <w:rsid w:val="00A16BC9"/>
    <w:rsid w:val="00A21271"/>
    <w:rsid w:val="00A26D26"/>
    <w:rsid w:val="00A311A5"/>
    <w:rsid w:val="00A31D29"/>
    <w:rsid w:val="00A3394A"/>
    <w:rsid w:val="00A40D6A"/>
    <w:rsid w:val="00A42315"/>
    <w:rsid w:val="00A439F1"/>
    <w:rsid w:val="00A561CE"/>
    <w:rsid w:val="00A633C0"/>
    <w:rsid w:val="00A7266F"/>
    <w:rsid w:val="00A8275A"/>
    <w:rsid w:val="00A85706"/>
    <w:rsid w:val="00A8585E"/>
    <w:rsid w:val="00A86047"/>
    <w:rsid w:val="00A95692"/>
    <w:rsid w:val="00A959B4"/>
    <w:rsid w:val="00AA7768"/>
    <w:rsid w:val="00AB1089"/>
    <w:rsid w:val="00AB2520"/>
    <w:rsid w:val="00AB3359"/>
    <w:rsid w:val="00AB5B7E"/>
    <w:rsid w:val="00AB7E1C"/>
    <w:rsid w:val="00AC3DDE"/>
    <w:rsid w:val="00AD700B"/>
    <w:rsid w:val="00AE1531"/>
    <w:rsid w:val="00AE33D8"/>
    <w:rsid w:val="00AF7031"/>
    <w:rsid w:val="00B17740"/>
    <w:rsid w:val="00B23AED"/>
    <w:rsid w:val="00B23D54"/>
    <w:rsid w:val="00B26238"/>
    <w:rsid w:val="00B31652"/>
    <w:rsid w:val="00B43DAB"/>
    <w:rsid w:val="00B459EC"/>
    <w:rsid w:val="00B50996"/>
    <w:rsid w:val="00B52FF2"/>
    <w:rsid w:val="00B55F8A"/>
    <w:rsid w:val="00B57AFB"/>
    <w:rsid w:val="00B63634"/>
    <w:rsid w:val="00B64DD8"/>
    <w:rsid w:val="00B75210"/>
    <w:rsid w:val="00B94589"/>
    <w:rsid w:val="00B96E0E"/>
    <w:rsid w:val="00BA1A20"/>
    <w:rsid w:val="00BB1C9B"/>
    <w:rsid w:val="00BB2733"/>
    <w:rsid w:val="00BC016B"/>
    <w:rsid w:val="00BC201F"/>
    <w:rsid w:val="00BC4835"/>
    <w:rsid w:val="00BC606B"/>
    <w:rsid w:val="00BE0D18"/>
    <w:rsid w:val="00BF5BF0"/>
    <w:rsid w:val="00C006C0"/>
    <w:rsid w:val="00C05864"/>
    <w:rsid w:val="00C0598C"/>
    <w:rsid w:val="00C05F58"/>
    <w:rsid w:val="00C162A0"/>
    <w:rsid w:val="00C1769C"/>
    <w:rsid w:val="00C345E6"/>
    <w:rsid w:val="00C3576C"/>
    <w:rsid w:val="00C53832"/>
    <w:rsid w:val="00C57748"/>
    <w:rsid w:val="00C7525F"/>
    <w:rsid w:val="00C752D1"/>
    <w:rsid w:val="00C854C3"/>
    <w:rsid w:val="00C93802"/>
    <w:rsid w:val="00C94246"/>
    <w:rsid w:val="00C94E28"/>
    <w:rsid w:val="00C972AE"/>
    <w:rsid w:val="00CA5BAD"/>
    <w:rsid w:val="00CA70FA"/>
    <w:rsid w:val="00CB1B64"/>
    <w:rsid w:val="00CD0784"/>
    <w:rsid w:val="00CD3D0E"/>
    <w:rsid w:val="00CE2872"/>
    <w:rsid w:val="00CE6A77"/>
    <w:rsid w:val="00CF1C8E"/>
    <w:rsid w:val="00CF1F21"/>
    <w:rsid w:val="00CF7710"/>
    <w:rsid w:val="00D05423"/>
    <w:rsid w:val="00D06280"/>
    <w:rsid w:val="00D1193D"/>
    <w:rsid w:val="00D131D2"/>
    <w:rsid w:val="00D17F95"/>
    <w:rsid w:val="00D6008E"/>
    <w:rsid w:val="00D716DE"/>
    <w:rsid w:val="00D72C65"/>
    <w:rsid w:val="00D77011"/>
    <w:rsid w:val="00D7751C"/>
    <w:rsid w:val="00D77D5A"/>
    <w:rsid w:val="00D81C7A"/>
    <w:rsid w:val="00D841CF"/>
    <w:rsid w:val="00D86BD4"/>
    <w:rsid w:val="00D906D2"/>
    <w:rsid w:val="00DA2C30"/>
    <w:rsid w:val="00DA65E8"/>
    <w:rsid w:val="00DB0E74"/>
    <w:rsid w:val="00DB46B7"/>
    <w:rsid w:val="00DB6601"/>
    <w:rsid w:val="00DC499D"/>
    <w:rsid w:val="00DC49A3"/>
    <w:rsid w:val="00DC5E9A"/>
    <w:rsid w:val="00DD2D29"/>
    <w:rsid w:val="00DD33D8"/>
    <w:rsid w:val="00DD58FA"/>
    <w:rsid w:val="00DE3980"/>
    <w:rsid w:val="00E00454"/>
    <w:rsid w:val="00E01046"/>
    <w:rsid w:val="00E062FF"/>
    <w:rsid w:val="00E16829"/>
    <w:rsid w:val="00E16B52"/>
    <w:rsid w:val="00E21946"/>
    <w:rsid w:val="00E24520"/>
    <w:rsid w:val="00E25258"/>
    <w:rsid w:val="00E434FA"/>
    <w:rsid w:val="00E464D3"/>
    <w:rsid w:val="00E60CC5"/>
    <w:rsid w:val="00E65DC2"/>
    <w:rsid w:val="00E70639"/>
    <w:rsid w:val="00E70DA5"/>
    <w:rsid w:val="00E710F2"/>
    <w:rsid w:val="00E74552"/>
    <w:rsid w:val="00E802BE"/>
    <w:rsid w:val="00E80487"/>
    <w:rsid w:val="00E86978"/>
    <w:rsid w:val="00E878BC"/>
    <w:rsid w:val="00E9250D"/>
    <w:rsid w:val="00E94542"/>
    <w:rsid w:val="00EA5EE4"/>
    <w:rsid w:val="00ED06F3"/>
    <w:rsid w:val="00ED1539"/>
    <w:rsid w:val="00EE0EC6"/>
    <w:rsid w:val="00EE1C71"/>
    <w:rsid w:val="00EE2C62"/>
    <w:rsid w:val="00EE4D4D"/>
    <w:rsid w:val="00F16074"/>
    <w:rsid w:val="00F21DF0"/>
    <w:rsid w:val="00F34BA3"/>
    <w:rsid w:val="00F40893"/>
    <w:rsid w:val="00F4385B"/>
    <w:rsid w:val="00F51202"/>
    <w:rsid w:val="00F526D1"/>
    <w:rsid w:val="00F52786"/>
    <w:rsid w:val="00F617C9"/>
    <w:rsid w:val="00F6754A"/>
    <w:rsid w:val="00F67C06"/>
    <w:rsid w:val="00F774FD"/>
    <w:rsid w:val="00F85600"/>
    <w:rsid w:val="00F960CB"/>
    <w:rsid w:val="00FA15A3"/>
    <w:rsid w:val="00FA355A"/>
    <w:rsid w:val="00FA5DE3"/>
    <w:rsid w:val="00FB0411"/>
    <w:rsid w:val="00FB4076"/>
    <w:rsid w:val="00FB409F"/>
    <w:rsid w:val="00FB6F4A"/>
    <w:rsid w:val="00FC2171"/>
    <w:rsid w:val="00FD0600"/>
    <w:rsid w:val="00FD476D"/>
    <w:rsid w:val="00FE0AB3"/>
    <w:rsid w:val="00FE3F11"/>
    <w:rsid w:val="00FE4C96"/>
    <w:rsid w:val="00FE537D"/>
    <w:rsid w:val="00FE5F2D"/>
    <w:rsid w:val="00FF0666"/>
    <w:rsid w:val="00FF6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D3A8"/>
  <w15:chartTrackingRefBased/>
  <w15:docId w15:val="{B14CD11D-715F-4067-8191-B701775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4DB"/>
    <w:pPr>
      <w:spacing w:after="0" w:line="240" w:lineRule="auto"/>
    </w:pPr>
    <w:rPr>
      <w:rFonts w:ascii="Arial" w:eastAsia="Times New Roman" w:hAnsi="Arial" w:cs="Times New Roman"/>
      <w:sz w:val="28"/>
      <w:szCs w:val="28"/>
      <w:lang w:eastAsia="sv-SE"/>
    </w:rPr>
  </w:style>
  <w:style w:type="paragraph" w:styleId="Rubrik1">
    <w:name w:val="heading 1"/>
    <w:basedOn w:val="Normal"/>
    <w:next w:val="Normal"/>
    <w:link w:val="Rubrik1Char"/>
    <w:qFormat/>
    <w:rsid w:val="00610897"/>
    <w:pPr>
      <w:keepNext/>
      <w:keepLines/>
      <w:spacing w:before="480" w:after="240"/>
      <w:outlineLvl w:val="0"/>
    </w:pPr>
    <w:rPr>
      <w:rFonts w:eastAsiaTheme="majorEastAsia" w:cstheme="majorBidi"/>
      <w:b/>
      <w:sz w:val="32"/>
      <w:szCs w:val="32"/>
    </w:rPr>
  </w:style>
  <w:style w:type="paragraph" w:styleId="Rubrik2">
    <w:name w:val="heading 2"/>
    <w:basedOn w:val="Normal"/>
    <w:next w:val="Normal"/>
    <w:link w:val="Rubrik2Char"/>
    <w:unhideWhenUsed/>
    <w:qFormat/>
    <w:rsid w:val="00610897"/>
    <w:pPr>
      <w:keepNext/>
      <w:spacing w:before="480" w:after="300"/>
      <w:outlineLvl w:val="1"/>
    </w:pPr>
    <w:rPr>
      <w:b/>
      <w:bCs/>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610897"/>
    <w:rPr>
      <w:rFonts w:ascii="Arial" w:hAnsi="Arial"/>
      <w:b/>
      <w:bCs/>
      <w:iCs/>
      <w:color w:val="000000" w:themeColor="text1"/>
      <w:sz w:val="28"/>
      <w:szCs w:val="28"/>
    </w:rPr>
  </w:style>
  <w:style w:type="character" w:customStyle="1" w:styleId="Rubrik1Char">
    <w:name w:val="Rubrik 1 Char"/>
    <w:basedOn w:val="Standardstycketeckensnitt"/>
    <w:link w:val="Rubrik1"/>
    <w:rsid w:val="00610897"/>
    <w:rPr>
      <w:rFonts w:ascii="Arial" w:eastAsiaTheme="majorEastAsia" w:hAnsi="Arial" w:cstheme="majorBidi"/>
      <w:b/>
      <w:sz w:val="32"/>
      <w:szCs w:val="32"/>
    </w:rPr>
  </w:style>
  <w:style w:type="paragraph" w:styleId="Sidhuvud">
    <w:name w:val="header"/>
    <w:basedOn w:val="Normal"/>
    <w:link w:val="SidhuvudChar"/>
    <w:rsid w:val="005944DB"/>
    <w:pPr>
      <w:tabs>
        <w:tab w:val="center" w:pos="4536"/>
        <w:tab w:val="right" w:pos="9072"/>
      </w:tabs>
    </w:pPr>
  </w:style>
  <w:style w:type="character" w:customStyle="1" w:styleId="SidhuvudChar">
    <w:name w:val="Sidhuvud Char"/>
    <w:basedOn w:val="Standardstycketeckensnitt"/>
    <w:link w:val="Sidhuvud"/>
    <w:rsid w:val="005944DB"/>
    <w:rPr>
      <w:rFonts w:ascii="Arial" w:eastAsia="Times New Roman" w:hAnsi="Arial" w:cs="Times New Roman"/>
      <w:sz w:val="28"/>
      <w:szCs w:val="28"/>
      <w:lang w:eastAsia="sv-SE"/>
    </w:rPr>
  </w:style>
  <w:style w:type="paragraph" w:styleId="Sidfot">
    <w:name w:val="footer"/>
    <w:basedOn w:val="Normal"/>
    <w:link w:val="SidfotChar"/>
    <w:uiPriority w:val="99"/>
    <w:rsid w:val="005944DB"/>
    <w:pPr>
      <w:tabs>
        <w:tab w:val="center" w:pos="4536"/>
        <w:tab w:val="right" w:pos="9072"/>
      </w:tabs>
    </w:pPr>
  </w:style>
  <w:style w:type="character" w:customStyle="1" w:styleId="SidfotChar">
    <w:name w:val="Sidfot Char"/>
    <w:basedOn w:val="Standardstycketeckensnitt"/>
    <w:link w:val="Sidfot"/>
    <w:uiPriority w:val="99"/>
    <w:rsid w:val="005944DB"/>
    <w:rPr>
      <w:rFonts w:ascii="Arial" w:eastAsia="Times New Roman" w:hAnsi="Arial" w:cs="Times New Roman"/>
      <w:sz w:val="28"/>
      <w:szCs w:val="28"/>
      <w:lang w:eastAsia="sv-SE"/>
    </w:rPr>
  </w:style>
  <w:style w:type="character" w:styleId="Hyperlnk">
    <w:name w:val="Hyperlink"/>
    <w:uiPriority w:val="99"/>
    <w:unhideWhenUsed/>
    <w:rsid w:val="005944DB"/>
    <w:rPr>
      <w:rFonts w:ascii="Arial" w:hAnsi="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srf.nu"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5130</Words>
  <Characters>27190</Characters>
  <Application>Microsoft Office Word</Application>
  <DocSecurity>0</DocSecurity>
  <Lines>226</Lines>
  <Paragraphs>64</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Backström Thunström</dc:creator>
  <cp:keywords/>
  <dc:description/>
  <cp:lastModifiedBy>Sally Backström Thunström</cp:lastModifiedBy>
  <cp:revision>22</cp:revision>
  <dcterms:created xsi:type="dcterms:W3CDTF">2019-11-28T09:11:00Z</dcterms:created>
  <dcterms:modified xsi:type="dcterms:W3CDTF">2019-11-28T10:23:00Z</dcterms:modified>
</cp:coreProperties>
</file>