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C4" w:rsidRDefault="00EB5F64" w:rsidP="006E6105">
      <w:r>
        <w:t xml:space="preserve">Riktlinjer </w:t>
      </w:r>
      <w:r w:rsidR="006A717B">
        <w:t>kring syntolkning</w:t>
      </w:r>
      <w:r w:rsidR="006A717B">
        <w:br/>
        <w:t>Från Synskadades Riksförbund</w:t>
      </w:r>
    </w:p>
    <w:p w:rsidR="00280C63" w:rsidRDefault="00280C63" w:rsidP="002447C4"/>
    <w:p w:rsidR="00F83163" w:rsidRPr="00942060" w:rsidRDefault="00EA7433">
      <w:pPr>
        <w:rPr>
          <w:b/>
        </w:rPr>
      </w:pPr>
      <w:r w:rsidRPr="00942060">
        <w:rPr>
          <w:b/>
        </w:rPr>
        <w:t>Innehåll</w:t>
      </w:r>
    </w:p>
    <w:p w:rsidR="00280C63" w:rsidRDefault="00EA7433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74485032" w:history="1">
        <w:r w:rsidR="00280C63" w:rsidRPr="00C32F0A">
          <w:rPr>
            <w:rStyle w:val="Hyperlnk"/>
            <w:noProof/>
          </w:rPr>
          <w:t>Definition av syntolkning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_Toc474485032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1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33" w:history="1">
        <w:r w:rsidR="00280C63" w:rsidRPr="00C32F0A">
          <w:rPr>
            <w:rStyle w:val="Hyperlnk"/>
            <w:noProof/>
          </w:rPr>
          <w:t>Avgränsningar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_Toc474485033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2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34" w:history="1">
        <w:r w:rsidR="00280C63" w:rsidRPr="00C32F0A">
          <w:rPr>
            <w:rStyle w:val="Hyperlnk"/>
            <w:noProof/>
          </w:rPr>
          <w:t>Kompetens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_Toc474485034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2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35" w:history="1">
        <w:r w:rsidR="00280C63" w:rsidRPr="00C32F0A">
          <w:rPr>
            <w:rStyle w:val="Hyperlnk"/>
            <w:noProof/>
          </w:rPr>
          <w:t>Manus och förberedelser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_Toc474485035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2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36" w:history="1">
        <w:r w:rsidR="00280C63" w:rsidRPr="00C32F0A">
          <w:rPr>
            <w:rStyle w:val="Hyperlnk"/>
            <w:noProof/>
          </w:rPr>
          <w:t>Introduktion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_Toc474485036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3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37" w:history="1">
        <w:r w:rsidR="00280C63" w:rsidRPr="00C32F0A">
          <w:rPr>
            <w:rStyle w:val="Hyperlnk"/>
            <w:noProof/>
          </w:rPr>
          <w:t>Syntolkningens innehåll och utformning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_Toc474485037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4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38" w:history="1">
        <w:r w:rsidR="00280C63" w:rsidRPr="00C32F0A">
          <w:rPr>
            <w:rStyle w:val="Hyperlnk"/>
            <w:noProof/>
          </w:rPr>
          <w:t>Syntolkningens ljud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_Toc474485038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5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39" w:history="1">
        <w:r w:rsidR="00280C63" w:rsidRPr="00C32F0A">
          <w:rPr>
            <w:rStyle w:val="Hyperlnk"/>
            <w:noProof/>
          </w:rPr>
          <w:t>Distribution av syntolkning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_Toc474485039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5</w:t>
        </w:r>
        <w:r w:rsidR="00280C63">
          <w:rPr>
            <w:noProof/>
            <w:webHidden/>
          </w:rPr>
          <w:fldChar w:fldCharType="end"/>
        </w:r>
      </w:hyperlink>
    </w:p>
    <w:p w:rsidR="00280C63" w:rsidRDefault="00B33C97">
      <w:pPr>
        <w:pStyle w:val="Innehll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474485040" w:history="1">
        <w:r w:rsidR="00280C63" w:rsidRPr="00C32F0A">
          <w:rPr>
            <w:rStyle w:val="Hyperlnk"/>
            <w:noProof/>
          </w:rPr>
          <w:t>Källor och inspiration</w:t>
        </w:r>
        <w:r w:rsidR="00280C63">
          <w:rPr>
            <w:noProof/>
            <w:webHidden/>
          </w:rPr>
          <w:tab/>
        </w:r>
        <w:r w:rsidR="00280C63">
          <w:rPr>
            <w:noProof/>
            <w:webHidden/>
          </w:rPr>
          <w:fldChar w:fldCharType="begin"/>
        </w:r>
        <w:r w:rsidR="00280C63">
          <w:rPr>
            <w:noProof/>
            <w:webHidden/>
          </w:rPr>
          <w:instrText xml:space="preserve"> PAGEREF _Toc474485040 \h </w:instrText>
        </w:r>
        <w:r w:rsidR="00280C63">
          <w:rPr>
            <w:noProof/>
            <w:webHidden/>
          </w:rPr>
        </w:r>
        <w:r w:rsidR="00280C63">
          <w:rPr>
            <w:noProof/>
            <w:webHidden/>
          </w:rPr>
          <w:fldChar w:fldCharType="separate"/>
        </w:r>
        <w:r w:rsidR="00280C63">
          <w:rPr>
            <w:noProof/>
            <w:webHidden/>
          </w:rPr>
          <w:t>5</w:t>
        </w:r>
        <w:r w:rsidR="00280C63">
          <w:rPr>
            <w:noProof/>
            <w:webHidden/>
          </w:rPr>
          <w:fldChar w:fldCharType="end"/>
        </w:r>
      </w:hyperlink>
    </w:p>
    <w:p w:rsidR="00841069" w:rsidRDefault="00EA7433">
      <w:r>
        <w:fldChar w:fldCharType="end"/>
      </w:r>
    </w:p>
    <w:p w:rsidR="002447C4" w:rsidRDefault="002447C4" w:rsidP="006E6105">
      <w:pPr>
        <w:pStyle w:val="Rubrik1"/>
      </w:pPr>
      <w:bookmarkStart w:id="0" w:name="_Toc474485032"/>
      <w:r>
        <w:t>Definition av syntolkning</w:t>
      </w:r>
      <w:bookmarkEnd w:id="0"/>
    </w:p>
    <w:p w:rsidR="006E6105" w:rsidRDefault="006E6105" w:rsidP="006E6105">
      <w:r>
        <w:t>Syntolkning innebär att med ord beskriva visuell information för personer som är blinda eller har nedsatt synförmåga.</w:t>
      </w:r>
    </w:p>
    <w:p w:rsidR="006E6105" w:rsidRDefault="006E6105" w:rsidP="006E6105">
      <w:r>
        <w:t>Förbundet Sveriges Dövblinda (</w:t>
      </w:r>
      <w:r w:rsidR="008E640B">
        <w:t>FSDB</w:t>
      </w:r>
      <w:r>
        <w:t>) definierar syntolkning som "</w:t>
      </w:r>
      <w:r>
        <w:rPr>
          <w:rFonts w:eastAsia="MS Mincho" w:cs="Arial"/>
          <w:szCs w:val="28"/>
        </w:rPr>
        <w:t xml:space="preserve">att </w:t>
      </w:r>
      <w:r>
        <w:rPr>
          <w:rFonts w:cs="Arial"/>
          <w:szCs w:val="28"/>
        </w:rPr>
        <w:t>beskriva bland annat miljö, personer, händelser, relationer, sociala samspel och atmosfär i nära anslutning till ledsagning och tolkning av vad som säg</w:t>
      </w:r>
      <w:r>
        <w:t>s."</w:t>
      </w:r>
    </w:p>
    <w:p w:rsidR="006E6105" w:rsidRDefault="006E6105" w:rsidP="006E6105"/>
    <w:p w:rsidR="006E6105" w:rsidRDefault="006E6105" w:rsidP="006E6105">
      <w:r>
        <w:t xml:space="preserve">Syntolkning är en riktad informationsinsats med tanke på den som inte ser, en form av så kallad tilläggsinformation. </w:t>
      </w:r>
    </w:p>
    <w:p w:rsidR="006E6105" w:rsidRDefault="006E6105" w:rsidP="006E6105"/>
    <w:p w:rsidR="006E6105" w:rsidRDefault="006E6105" w:rsidP="00443F3E">
      <w:r>
        <w:t>Begrepp som är självklara för den som ser kan behöva beskrivas och förklaras i detalj för den som inte ser någonting alls eller har kraftigt nedsatt synförmåga.</w:t>
      </w:r>
    </w:p>
    <w:p w:rsidR="00443F3E" w:rsidRDefault="00443F3E" w:rsidP="006E6105"/>
    <w:p w:rsidR="006E6105" w:rsidRDefault="006E6105" w:rsidP="006E6105">
      <w:r>
        <w:t>Syntolkning kan ske i många olika situationer. Det kan röra sig om att få beskrivet vad som händer i en film, exempelvis minspel, känslouttryck, kroppspråk, klädsel eller vilken person som talar. Det kan gälla en miljöbeskrivning av torget hemmavid, hur kläder ser ut vid inköp eller vad som händer i klassrummet en vanlig skoldag.</w:t>
      </w:r>
    </w:p>
    <w:p w:rsidR="006E6105" w:rsidRDefault="006E6105" w:rsidP="006E6105"/>
    <w:p w:rsidR="006E6105" w:rsidRDefault="006E6105" w:rsidP="006E6105">
      <w:r>
        <w:t xml:space="preserve">Syntolkning kan ske i realtid eller vara inspelad, så kallad ljudspårssyntolkning (av biofilmer, </w:t>
      </w:r>
      <w:r w:rsidR="008E640B">
        <w:t>DVD-filmer</w:t>
      </w:r>
      <w:r>
        <w:t xml:space="preserve"> eller tv-program).</w:t>
      </w:r>
    </w:p>
    <w:p w:rsidR="006E6105" w:rsidRDefault="006E6105" w:rsidP="006E6105"/>
    <w:p w:rsidR="006E6105" w:rsidRDefault="006E6105" w:rsidP="006E6105">
      <w:r>
        <w:lastRenderedPageBreak/>
        <w:t>Syntolkning kan göras organiserat för en grupp. Målgruppen kan vara alla synskadade som är intresserade (exempelvis tv-sändningar). Det kan gälla en begränsad målgrupp (exempelvis ett kulturevenemang där biljetter krävs eller under en föreningsaktivitet).</w:t>
      </w:r>
    </w:p>
    <w:p w:rsidR="006E6105" w:rsidRDefault="006E6105" w:rsidP="006E6105"/>
    <w:p w:rsidR="006E6105" w:rsidRDefault="006E6105" w:rsidP="006E6105">
      <w:r>
        <w:t>Syntolkning kan även göras åt en enskild person i form av vardagssyntolkning eller i samband med utbildning eller arbete. Det kan också gälla om en enda person vill besöka en utställning, en teater, ett idrottsevenemang eller liknande.</w:t>
      </w:r>
    </w:p>
    <w:p w:rsidR="002447C4" w:rsidRDefault="002447C4" w:rsidP="002447C4"/>
    <w:p w:rsidR="002447C4" w:rsidRDefault="006E6105" w:rsidP="006E6105">
      <w:pPr>
        <w:pStyle w:val="Rubrik1"/>
      </w:pPr>
      <w:bookmarkStart w:id="1" w:name="_Toc474485033"/>
      <w:r>
        <w:t>Avgränsningar</w:t>
      </w:r>
      <w:bookmarkEnd w:id="1"/>
    </w:p>
    <w:p w:rsidR="00BF58BE" w:rsidRDefault="00EA129B">
      <w:r>
        <w:t>Dessa r</w:t>
      </w:r>
      <w:r w:rsidR="002447C4">
        <w:t>iktlinjer</w:t>
      </w:r>
      <w:r w:rsidR="00025DC4">
        <w:t xml:space="preserve"> avgränsar sig till organiserad </w:t>
      </w:r>
      <w:r w:rsidR="00A56D9E">
        <w:t xml:space="preserve">syntolkning som sker publikt inför en heterogen grupp där det inte går att ta hänsyn till individuella behov. </w:t>
      </w:r>
      <w:r w:rsidR="008E640B">
        <w:t>Riktlinjerna gäller i</w:t>
      </w:r>
      <w:r w:rsidR="00BF58BE">
        <w:t xml:space="preserve"> fö</w:t>
      </w:r>
      <w:r w:rsidR="008E640B">
        <w:t xml:space="preserve">rsta hand film och tv. De </w:t>
      </w:r>
      <w:r w:rsidR="00BF58BE">
        <w:t>bör också kunna vara tillämpliga inom andra områden, till exempel teater.</w:t>
      </w:r>
    </w:p>
    <w:p w:rsidR="00A56D9E" w:rsidRDefault="00A56D9E" w:rsidP="00A56D9E"/>
    <w:p w:rsidR="000C7130" w:rsidRDefault="000C7130" w:rsidP="006E6105">
      <w:pPr>
        <w:pStyle w:val="Rubrik1"/>
      </w:pPr>
      <w:bookmarkStart w:id="2" w:name="_Toc474485034"/>
      <w:r>
        <w:t>Kompetens</w:t>
      </w:r>
      <w:bookmarkEnd w:id="2"/>
    </w:p>
    <w:p w:rsidR="00777E65" w:rsidRDefault="004C75BF" w:rsidP="00777E65">
      <w:r>
        <w:t>En per</w:t>
      </w:r>
      <w:r w:rsidR="000C7130">
        <w:t>s</w:t>
      </w:r>
      <w:r>
        <w:t>o</w:t>
      </w:r>
      <w:r w:rsidR="000C7130">
        <w:t>n som syntolkar ett f</w:t>
      </w:r>
      <w:r>
        <w:t>öri</w:t>
      </w:r>
      <w:r w:rsidR="000C7130">
        <w:t>n</w:t>
      </w:r>
      <w:r>
        <w:t>s</w:t>
      </w:r>
      <w:r w:rsidR="000C7130">
        <w:t xml:space="preserve">pelat ljudspår ska </w:t>
      </w:r>
      <w:r w:rsidR="00921B94">
        <w:t xml:space="preserve">alltid </w:t>
      </w:r>
      <w:r w:rsidR="000C7130">
        <w:t>ha genomgått en syntolkningsutbildning på folkhögskola</w:t>
      </w:r>
      <w:r w:rsidR="00180DFF">
        <w:t>,</w:t>
      </w:r>
      <w:r w:rsidR="000C7130">
        <w:t xml:space="preserve"> </w:t>
      </w:r>
      <w:r w:rsidR="00180DFF">
        <w:t xml:space="preserve">högskola </w:t>
      </w:r>
      <w:r w:rsidR="000C7130">
        <w:t>eller universitet. Utbildningen ska ha godkänts av Synskadades Riksförbund</w:t>
      </w:r>
      <w:r w:rsidR="00A56D9E">
        <w:t xml:space="preserve"> (SRF)</w:t>
      </w:r>
      <w:r w:rsidR="000C7130">
        <w:t>.</w:t>
      </w:r>
      <w:r>
        <w:t xml:space="preserve"> </w:t>
      </w:r>
      <w:r w:rsidR="00777E65">
        <w:t>Långvarig praktisk arbetslivserfarenhet av professionell syntolkning kan motsvara ovanstående krav om arbetslivserfarenheten kan styrkas.</w:t>
      </w:r>
    </w:p>
    <w:p w:rsidR="00773236" w:rsidRDefault="00773236"/>
    <w:p w:rsidR="000C7130" w:rsidRDefault="00EA129B">
      <w:r>
        <w:t xml:space="preserve">Produktion av syntolkning kan få bidrag från Filminstitutet. </w:t>
      </w:r>
      <w:r w:rsidR="00773236">
        <w:t xml:space="preserve">Inför bidragsansökningar </w:t>
      </w:r>
      <w:r w:rsidR="004C75BF">
        <w:t>ska filmbolagen behöva redovisa vilken kompetens syntolkarna har.</w:t>
      </w:r>
    </w:p>
    <w:p w:rsidR="00773236" w:rsidRDefault="00773236"/>
    <w:p w:rsidR="000C7130" w:rsidRDefault="004C75BF">
      <w:r>
        <w:t>Det är eftersträvansvärt at</w:t>
      </w:r>
      <w:r w:rsidR="00FC57C2">
        <w:t>t även syntolkar</w:t>
      </w:r>
      <w:r>
        <w:t xml:space="preserve"> som </w:t>
      </w:r>
      <w:r w:rsidR="00FC57C2">
        <w:t>direktsyntolkar</w:t>
      </w:r>
      <w:r w:rsidR="00666289">
        <w:t xml:space="preserve"> på plats för en publik</w:t>
      </w:r>
      <w:r w:rsidR="00FC57C2">
        <w:t xml:space="preserve"> (livesyntolkar</w:t>
      </w:r>
      <w:r w:rsidR="0017607A">
        <w:t xml:space="preserve">) </w:t>
      </w:r>
      <w:r>
        <w:t>har gen</w:t>
      </w:r>
      <w:r w:rsidR="00773236">
        <w:t>o</w:t>
      </w:r>
      <w:r>
        <w:t>mgått en sådan utbildning.</w:t>
      </w:r>
    </w:p>
    <w:p w:rsidR="00620286" w:rsidRDefault="00620286"/>
    <w:p w:rsidR="00620286" w:rsidRDefault="00620286" w:rsidP="006E6105">
      <w:pPr>
        <w:pStyle w:val="Rubrik1"/>
      </w:pPr>
      <w:bookmarkStart w:id="3" w:name="_Toc474485035"/>
      <w:r>
        <w:t>Manus</w:t>
      </w:r>
      <w:r w:rsidR="00AD5895">
        <w:t xml:space="preserve"> och förberedelser</w:t>
      </w:r>
      <w:bookmarkEnd w:id="3"/>
    </w:p>
    <w:p w:rsidR="0065731E" w:rsidRDefault="00620286" w:rsidP="00620286">
      <w:r>
        <w:t xml:space="preserve">Om det är fråga om en ljudspårssyntolkning </w:t>
      </w:r>
      <w:r w:rsidR="00A56D9E">
        <w:t>som är förinspelad</w:t>
      </w:r>
      <w:r w:rsidR="003B59B7">
        <w:t>,</w:t>
      </w:r>
      <w:r w:rsidR="00A56D9E">
        <w:t xml:space="preserve"> </w:t>
      </w:r>
      <w:r>
        <w:t>ska ett manus alltid göras</w:t>
      </w:r>
      <w:r w:rsidR="0065731E">
        <w:t>.</w:t>
      </w:r>
    </w:p>
    <w:p w:rsidR="0017607A" w:rsidRDefault="0017607A" w:rsidP="00620286"/>
    <w:p w:rsidR="0017607A" w:rsidRDefault="00AD5895" w:rsidP="00620286">
      <w:r>
        <w:t>Inför ett</w:t>
      </w:r>
      <w:r w:rsidR="00944351">
        <w:t xml:space="preserve"> manuss</w:t>
      </w:r>
      <w:r>
        <w:t>krivan</w:t>
      </w:r>
      <w:r w:rsidR="00944351">
        <w:t>de ska d</w:t>
      </w:r>
      <w:r>
        <w:t>e</w:t>
      </w:r>
      <w:r w:rsidR="00944351">
        <w:t>n som tar fr</w:t>
      </w:r>
      <w:r>
        <w:t>a</w:t>
      </w:r>
      <w:r w:rsidR="00944351">
        <w:t>m</w:t>
      </w:r>
      <w:r>
        <w:t xml:space="preserve"> manuset se den aktuella filmen flera gånger.</w:t>
      </w:r>
    </w:p>
    <w:p w:rsidR="00620286" w:rsidRDefault="00620286" w:rsidP="00620286">
      <w:r>
        <w:lastRenderedPageBreak/>
        <w:t xml:space="preserve">Manuset ska stämmas av med någon som inte </w:t>
      </w:r>
      <w:r w:rsidR="00573E1E">
        <w:t xml:space="preserve">har </w:t>
      </w:r>
      <w:r>
        <w:t>varit invo</w:t>
      </w:r>
      <w:r w:rsidR="00A54C9B">
        <w:t>lverad i framtagandet</w:t>
      </w:r>
      <w:r>
        <w:t>.</w:t>
      </w:r>
    </w:p>
    <w:p w:rsidR="0017607A" w:rsidRDefault="0017607A" w:rsidP="00E41C34">
      <w:pPr>
        <w:spacing w:line="480" w:lineRule="auto"/>
      </w:pPr>
    </w:p>
    <w:p w:rsidR="003123DD" w:rsidRDefault="003123DD" w:rsidP="00B65946">
      <w:pPr>
        <w:spacing w:line="276" w:lineRule="auto"/>
      </w:pPr>
      <w:r>
        <w:t xml:space="preserve">När </w:t>
      </w:r>
      <w:r w:rsidR="008E640B">
        <w:t>livesyntolkning</w:t>
      </w:r>
      <w:r>
        <w:t xml:space="preserve"> görs behöver inte ett manus tas fram. Däremot är det mycket viktigt att syntolken ser det som ska tolkas flera gånger i förväg om det är möjligt så att hen är väl insatt i handlingen.</w:t>
      </w:r>
    </w:p>
    <w:p w:rsidR="00C53532" w:rsidRDefault="00C53532" w:rsidP="00B65946">
      <w:pPr>
        <w:spacing w:line="276" w:lineRule="auto"/>
      </w:pPr>
    </w:p>
    <w:p w:rsidR="00E41C34" w:rsidRDefault="00C53532" w:rsidP="00B65946">
      <w:pPr>
        <w:spacing w:line="276" w:lineRule="auto"/>
      </w:pPr>
      <w:bookmarkStart w:id="4" w:name="OLE_LINK3"/>
      <w:bookmarkStart w:id="5" w:name="OLE_LINK4"/>
      <w:r>
        <w:t xml:space="preserve">Vi avråder generellt </w:t>
      </w:r>
      <w:r w:rsidR="00620286">
        <w:t>från översättning av utländska syntolkningsmanus</w:t>
      </w:r>
      <w:r w:rsidR="00573E1E">
        <w:t>.</w:t>
      </w:r>
      <w:r w:rsidR="00620286">
        <w:t xml:space="preserve"> </w:t>
      </w:r>
      <w:r w:rsidR="00573E1E">
        <w:t>D</w:t>
      </w:r>
      <w:r w:rsidR="00620286">
        <w:t>et har visat sig vara svårt att anpassa det på ett bra sätt till ett annat språk</w:t>
      </w:r>
      <w:r w:rsidR="00D828EB">
        <w:t xml:space="preserve"> (jfr </w:t>
      </w:r>
      <w:r w:rsidR="00A56D9E">
        <w:t xml:space="preserve">Pedersen i: </w:t>
      </w:r>
      <w:r w:rsidR="00D828EB">
        <w:t>Holsanova sid. 56)</w:t>
      </w:r>
      <w:r w:rsidR="00620286">
        <w:t>. Även kulturella skillnader kan göra att syntolkning</w:t>
      </w:r>
      <w:r w:rsidR="00573E1E">
        <w:t>e</w:t>
      </w:r>
      <w:r w:rsidR="0017607A">
        <w:t>n</w:t>
      </w:r>
      <w:r w:rsidR="00573E1E">
        <w:t xml:space="preserve"> måste se olika ut i olika lä</w:t>
      </w:r>
      <w:r w:rsidR="00620286">
        <w:t>n</w:t>
      </w:r>
      <w:r w:rsidR="00573E1E">
        <w:t>d</w:t>
      </w:r>
      <w:r w:rsidR="00620286">
        <w:t>er</w:t>
      </w:r>
      <w:r w:rsidR="0017607A">
        <w:t>.</w:t>
      </w:r>
      <w:r w:rsidR="009D6EBD">
        <w:t xml:space="preserve"> (J</w:t>
      </w:r>
      <w:r w:rsidR="00573E1E">
        <w:t xml:space="preserve">fr </w:t>
      </w:r>
      <w:r w:rsidR="00A54C9B">
        <w:t xml:space="preserve">ITC:s riktlinjer). </w:t>
      </w:r>
    </w:p>
    <w:p w:rsidR="00A54C9B" w:rsidRDefault="00A54C9B" w:rsidP="0017607A"/>
    <w:p w:rsidR="0017607A" w:rsidRDefault="0017607A" w:rsidP="0017607A">
      <w:r>
        <w:t xml:space="preserve">I ett land kan exempelvis en viss plats vara känd för alla, medan den för publiken </w:t>
      </w:r>
      <w:r w:rsidR="00944351">
        <w:t xml:space="preserve">i </w:t>
      </w:r>
      <w:r>
        <w:t>ett annat land kan vara helt okänd och därför behöva förklaras.</w:t>
      </w:r>
    </w:p>
    <w:p w:rsidR="0017607A" w:rsidRDefault="00C53532" w:rsidP="00E41C34">
      <w:r>
        <w:t>Om ett syntolkningsspår trots detta ska översättas måste kulturella skillnader tas i beaktande. Syntolkningen måste anpassas till det aktuella språket</w:t>
      </w:r>
      <w:r w:rsidR="00166A99">
        <w:t>, precis som när en bok översätts</w:t>
      </w:r>
      <w:r>
        <w:t>.</w:t>
      </w:r>
    </w:p>
    <w:bookmarkEnd w:id="4"/>
    <w:bookmarkEnd w:id="5"/>
    <w:p w:rsidR="00C53532" w:rsidRDefault="00C53532" w:rsidP="00E41C34"/>
    <w:p w:rsidR="00773236" w:rsidRDefault="00944351" w:rsidP="00EA7433">
      <w:pPr>
        <w:pStyle w:val="Rubrik1"/>
      </w:pPr>
      <w:bookmarkStart w:id="6" w:name="_Toc474485036"/>
      <w:r>
        <w:t>Introduktion</w:t>
      </w:r>
      <w:bookmarkEnd w:id="6"/>
    </w:p>
    <w:p w:rsidR="00B57169" w:rsidRDefault="002141A3" w:rsidP="005737C7">
      <w:r>
        <w:t>En introduktion ska alltid göras som talar om vad filmen handlar om, om filmens karaktärer och miljöer. Ibland kan det också vara viktigt att belysa sådant som är speciellt viktigt f</w:t>
      </w:r>
      <w:r w:rsidR="00CF0855">
        <w:t>ö</w:t>
      </w:r>
      <w:r>
        <w:t>r en viss films handl</w:t>
      </w:r>
      <w:r w:rsidR="00CF0855">
        <w:t>ing. Om exempelvis en film hand</w:t>
      </w:r>
      <w:r>
        <w:t>l</w:t>
      </w:r>
      <w:r w:rsidR="00CF0855">
        <w:t>ar om hur perso</w:t>
      </w:r>
      <w:r>
        <w:t>n</w:t>
      </w:r>
      <w:r w:rsidR="00CF0855">
        <w:t>er som är kortväxt</w:t>
      </w:r>
      <w:r>
        <w:t>a diskrimineras i samhället är det bra att red</w:t>
      </w:r>
      <w:r w:rsidR="00CF0855">
        <w:t>an från börja</w:t>
      </w:r>
      <w:r w:rsidR="009418EE">
        <w:t>n</w:t>
      </w:r>
      <w:r w:rsidR="00CF0855">
        <w:t xml:space="preserve"> veta vilka av per</w:t>
      </w:r>
      <w:r>
        <w:t>s</w:t>
      </w:r>
      <w:r w:rsidR="00CF0855">
        <w:t>o</w:t>
      </w:r>
      <w:r>
        <w:t>nerna som är kortv</w:t>
      </w:r>
      <w:r w:rsidR="00502EB7">
        <w:t>äxta</w:t>
      </w:r>
      <w:r w:rsidR="00B57169">
        <w:t>.</w:t>
      </w:r>
      <w:r w:rsidR="00502EB7">
        <w:t xml:space="preserve"> </w:t>
      </w:r>
    </w:p>
    <w:p w:rsidR="00B57169" w:rsidRDefault="00B57169" w:rsidP="005737C7"/>
    <w:p w:rsidR="00502EB7" w:rsidRDefault="00502EB7" w:rsidP="005737C7">
      <w:r>
        <w:t>Om det är fråga om en livesyntolkning ska introdukt</w:t>
      </w:r>
      <w:r w:rsidR="00773236">
        <w:t>i</w:t>
      </w:r>
      <w:r>
        <w:t xml:space="preserve">onen ske cirka en kvart före filmen börjar. </w:t>
      </w:r>
    </w:p>
    <w:p w:rsidR="00502EB7" w:rsidRDefault="00502EB7" w:rsidP="002141A3"/>
    <w:p w:rsidR="00502EB7" w:rsidRDefault="00502EB7" w:rsidP="005737C7">
      <w:r>
        <w:t>Om det är fråga om en ljudspårssyntolkning ska introduktionen finnas tillgänglig</w:t>
      </w:r>
      <w:r w:rsidR="00841069">
        <w:t xml:space="preserve"> i fo</w:t>
      </w:r>
      <w:r>
        <w:t>r</w:t>
      </w:r>
      <w:r w:rsidR="00841069">
        <w:t>m</w:t>
      </w:r>
      <w:r>
        <w:t xml:space="preserve"> </w:t>
      </w:r>
      <w:r w:rsidR="005737C7">
        <w:t xml:space="preserve">av ett separat ljudspår som går </w:t>
      </w:r>
      <w:r>
        <w:t>att ladda hem oberoende av syntolkningssp</w:t>
      </w:r>
      <w:r w:rsidR="00CF0855">
        <w:t>året. Den tekn</w:t>
      </w:r>
      <w:r>
        <w:t>ik som används för ljudspårssyntolkning i Sverige gör det inte möjligt att starta syntolkningsspåret före fi</w:t>
      </w:r>
      <w:r w:rsidR="00CF0855">
        <w:t>lmljudet har startat. L</w:t>
      </w:r>
      <w:r>
        <w:t xml:space="preserve">judspåret synkroniseras </w:t>
      </w:r>
      <w:r w:rsidR="00394BB0">
        <w:t xml:space="preserve">nämligen </w:t>
      </w:r>
      <w:r>
        <w:t xml:space="preserve">med filmens ljud. </w:t>
      </w:r>
    </w:p>
    <w:p w:rsidR="00502EB7" w:rsidRDefault="00502EB7" w:rsidP="002141A3"/>
    <w:p w:rsidR="00841069" w:rsidRDefault="00773236" w:rsidP="005737C7">
      <w:r>
        <w:t>Tv</w:t>
      </w:r>
      <w:r w:rsidR="00CF0855">
        <w:t xml:space="preserve">-bolag </w:t>
      </w:r>
      <w:r w:rsidR="00841069">
        <w:t>ska också tillhandahålla ljudspårsintroduktioner</w:t>
      </w:r>
      <w:r w:rsidR="00CF0855">
        <w:t xml:space="preserve"> i form av separata ljudspår</w:t>
      </w:r>
      <w:r w:rsidR="00841069">
        <w:t>.</w:t>
      </w:r>
    </w:p>
    <w:p w:rsidR="00824DA6" w:rsidRDefault="00824DA6" w:rsidP="002141A3"/>
    <w:p w:rsidR="00620286" w:rsidRDefault="00620286" w:rsidP="00EA7433">
      <w:pPr>
        <w:pStyle w:val="Rubrik1"/>
      </w:pPr>
      <w:bookmarkStart w:id="7" w:name="_Toc474485037"/>
      <w:r>
        <w:lastRenderedPageBreak/>
        <w:t>Syntolkningens innehåll och utformning</w:t>
      </w:r>
      <w:bookmarkEnd w:id="7"/>
    </w:p>
    <w:p w:rsidR="00D828EB" w:rsidRDefault="006E3C88" w:rsidP="002141A3">
      <w:r>
        <w:t>Det rå</w:t>
      </w:r>
      <w:r w:rsidR="009418EE">
        <w:t xml:space="preserve">der alltid olika önskemål från </w:t>
      </w:r>
      <w:r>
        <w:t>p</w:t>
      </w:r>
      <w:r w:rsidR="003123DD">
        <w:t xml:space="preserve">erson till </w:t>
      </w:r>
      <w:r w:rsidR="009418EE">
        <w:t>per</w:t>
      </w:r>
      <w:r>
        <w:t>s</w:t>
      </w:r>
      <w:r w:rsidR="009418EE">
        <w:t>o</w:t>
      </w:r>
      <w:r>
        <w:t>n om exakt vad syntolkningen ska innehålla. Det beror på skilda intressen. Det kan också ha betyd</w:t>
      </w:r>
      <w:r w:rsidR="005737C7">
        <w:t xml:space="preserve">else ifall en person är </w:t>
      </w:r>
      <w:r>
        <w:t>sy</w:t>
      </w:r>
      <w:r w:rsidR="009418EE">
        <w:t xml:space="preserve">nskadad </w:t>
      </w:r>
      <w:r w:rsidR="005737C7">
        <w:t xml:space="preserve">sedan födelsen </w:t>
      </w:r>
      <w:r w:rsidR="009418EE">
        <w:t>eller om p</w:t>
      </w:r>
      <w:r>
        <w:t xml:space="preserve">ersonen </w:t>
      </w:r>
      <w:r w:rsidR="009418EE">
        <w:t xml:space="preserve">har </w:t>
      </w:r>
      <w:r>
        <w:t xml:space="preserve">blivit synskadad i vuxen ålder samt om hen ser lite eller helt saknar synförmåga. </w:t>
      </w:r>
      <w:r w:rsidR="00411C51">
        <w:t>Andra</w:t>
      </w:r>
      <w:r w:rsidR="00D828EB">
        <w:t xml:space="preserve"> </w:t>
      </w:r>
      <w:r w:rsidR="005737C7">
        <w:t>för</w:t>
      </w:r>
      <w:r w:rsidR="00411C51">
        <w:t xml:space="preserve">utsättningar och intressen </w:t>
      </w:r>
      <w:r w:rsidR="00D828EB">
        <w:t>k</w:t>
      </w:r>
      <w:r w:rsidR="00411C51">
        <w:t>a</w:t>
      </w:r>
      <w:r w:rsidR="00D828EB">
        <w:t xml:space="preserve">n </w:t>
      </w:r>
      <w:r w:rsidR="00411C51">
        <w:t>också</w:t>
      </w:r>
      <w:r w:rsidR="00D828EB">
        <w:t xml:space="preserve"> styra</w:t>
      </w:r>
      <w:r w:rsidR="00092608">
        <w:t xml:space="preserve"> (jfr Larsson i: Holsanova sid. 73)</w:t>
      </w:r>
      <w:r w:rsidR="00D828EB">
        <w:t>.</w:t>
      </w:r>
    </w:p>
    <w:p w:rsidR="00D828EB" w:rsidRDefault="00D828EB" w:rsidP="002141A3"/>
    <w:p w:rsidR="00E61532" w:rsidRDefault="00E61532" w:rsidP="002141A3">
      <w:r>
        <w:t>Detta är givetvis svårt att ta hänsyn till vid en ljudspårssyntolkning eller livesyntolkning.</w:t>
      </w:r>
    </w:p>
    <w:p w:rsidR="00E61532" w:rsidRDefault="00E61532" w:rsidP="002141A3"/>
    <w:p w:rsidR="002141A3" w:rsidRDefault="002141A3" w:rsidP="002141A3">
      <w:r>
        <w:t>Syntolkningen ska beskriva den huv</w:t>
      </w:r>
      <w:r w:rsidR="00BF58BE">
        <w:t>udsakliga handlingen/följa den röda tråden</w:t>
      </w:r>
      <w:r>
        <w:t xml:space="preserve"> i</w:t>
      </w:r>
      <w:r w:rsidR="00502EB7">
        <w:t xml:space="preserve"> </w:t>
      </w:r>
      <w:r>
        <w:t>filmen samt spegla filmens karaktär</w:t>
      </w:r>
      <w:r w:rsidR="00502EB7">
        <w:t>er</w:t>
      </w:r>
      <w:r>
        <w:t>.</w:t>
      </w:r>
      <w:r w:rsidR="00502EB7">
        <w:t xml:space="preserve"> Syntolken ska ha ett neutralt förhållning</w:t>
      </w:r>
      <w:r w:rsidR="00A954EE">
        <w:t>ssätt</w:t>
      </w:r>
      <w:r w:rsidR="00502EB7">
        <w:t xml:space="preserve"> så att tittaren så l</w:t>
      </w:r>
      <w:r w:rsidR="00A954EE">
        <w:t>å</w:t>
      </w:r>
      <w:r w:rsidR="00502EB7">
        <w:t>ngt som möjligt får göra sina egna tolkningar och skapa sina egna bilder.</w:t>
      </w:r>
      <w:r>
        <w:t xml:space="preserve"> </w:t>
      </w:r>
    </w:p>
    <w:p w:rsidR="002141A3" w:rsidRDefault="002141A3" w:rsidP="002141A3"/>
    <w:p w:rsidR="002141A3" w:rsidRDefault="002141A3" w:rsidP="002141A3">
      <w:r>
        <w:t xml:space="preserve">Det är viktigt att syntolkningen fokuserar på det som är </w:t>
      </w:r>
    </w:p>
    <w:p w:rsidR="00EA129B" w:rsidRDefault="005737C7" w:rsidP="002141A3">
      <w:r>
        <w:t xml:space="preserve">Väsentligt för handlingen eller det </w:t>
      </w:r>
      <w:r w:rsidR="00486AF1">
        <w:t>sammanhanget.</w:t>
      </w:r>
      <w:r w:rsidR="00CF0855">
        <w:t xml:space="preserve"> </w:t>
      </w:r>
      <w:r w:rsidR="00EA129B">
        <w:t>D</w:t>
      </w:r>
      <w:r w:rsidR="00CF0855">
        <w:t xml:space="preserve">et </w:t>
      </w:r>
      <w:r w:rsidR="002141A3">
        <w:t xml:space="preserve">som inte tillför något </w:t>
      </w:r>
      <w:r w:rsidR="00EA129B">
        <w:t xml:space="preserve">väsentligt </w:t>
      </w:r>
      <w:r w:rsidR="00486AF1">
        <w:t>måste</w:t>
      </w:r>
      <w:r w:rsidR="00EA129B">
        <w:t xml:space="preserve"> utelämnas </w:t>
      </w:r>
      <w:r w:rsidR="002141A3">
        <w:t xml:space="preserve">för att </w:t>
      </w:r>
      <w:r w:rsidR="00EA129B">
        <w:t xml:space="preserve">den huvudsakliga </w:t>
      </w:r>
      <w:r w:rsidR="00486AF1">
        <w:t>handlingen</w:t>
      </w:r>
      <w:r w:rsidR="00EA129B">
        <w:t xml:space="preserve"> ska kunna beskrivas.</w:t>
      </w:r>
    </w:p>
    <w:p w:rsidR="00DD0E3C" w:rsidRDefault="00AA6DD1" w:rsidP="002141A3">
      <w:r>
        <w:t>Eftersom tolkning</w:t>
      </w:r>
      <w:r w:rsidR="00824DA6">
        <w:t>e</w:t>
      </w:r>
      <w:r>
        <w:t>n</w:t>
      </w:r>
      <w:r w:rsidR="00824DA6">
        <w:t xml:space="preserve"> inte får ske unde</w:t>
      </w:r>
      <w:r>
        <w:t>r dialoger</w:t>
      </w:r>
      <w:r w:rsidR="00A558E5">
        <w:t>,</w:t>
      </w:r>
      <w:r>
        <w:t xml:space="preserve"> finns kraftiga begrä</w:t>
      </w:r>
      <w:r w:rsidR="00824DA6">
        <w:t>n</w:t>
      </w:r>
      <w:r>
        <w:t>sni</w:t>
      </w:r>
      <w:r w:rsidR="00824DA6">
        <w:t>n</w:t>
      </w:r>
      <w:r>
        <w:t>g</w:t>
      </w:r>
      <w:r w:rsidR="000467B9">
        <w:t>ar beträf</w:t>
      </w:r>
      <w:r w:rsidR="00824DA6">
        <w:t xml:space="preserve">fande </w:t>
      </w:r>
      <w:r w:rsidR="000467B9">
        <w:t xml:space="preserve">vad </w:t>
      </w:r>
      <w:r w:rsidR="00824DA6">
        <w:t>som kan tolkas.</w:t>
      </w:r>
      <w:r w:rsidR="002141A3">
        <w:t xml:space="preserve"> </w:t>
      </w:r>
      <w:r w:rsidR="009E264A">
        <w:t>Exempel</w:t>
      </w:r>
      <w:r w:rsidR="00DD0E3C">
        <w:t>: Det</w:t>
      </w:r>
      <w:r>
        <w:t xml:space="preserve"> är i normalfallet inte väsentl</w:t>
      </w:r>
      <w:r w:rsidR="00DD0E3C">
        <w:t>igt att beskriva om en pers</w:t>
      </w:r>
      <w:r w:rsidR="000C7130">
        <w:t>o</w:t>
      </w:r>
      <w:r w:rsidR="00DD0E3C">
        <w:t xml:space="preserve">n visas i närbild eller långt bort. Däremot är </w:t>
      </w:r>
      <w:r w:rsidR="00824DA6">
        <w:t>det viktigt att nämna om handli</w:t>
      </w:r>
      <w:r w:rsidR="00DD0E3C">
        <w:t>n</w:t>
      </w:r>
      <w:r w:rsidR="00824DA6">
        <w:t>gen byter rum eller tid, exempelvis plötsl</w:t>
      </w:r>
      <w:r w:rsidR="00DD0E3C">
        <w:t>i</w:t>
      </w:r>
      <w:r w:rsidR="00824DA6">
        <w:t>gt ho</w:t>
      </w:r>
      <w:r w:rsidR="00DD0E3C">
        <w:t>ppar tre ve</w:t>
      </w:r>
      <w:r w:rsidR="00824DA6">
        <w:t>ck</w:t>
      </w:r>
      <w:r w:rsidR="00DD0E3C">
        <w:t>o</w:t>
      </w:r>
      <w:r w:rsidR="00824DA6">
        <w:t>r</w:t>
      </w:r>
      <w:r w:rsidR="00DD0E3C">
        <w:t xml:space="preserve"> tillbaka i tiden</w:t>
      </w:r>
      <w:r w:rsidR="00D828EB">
        <w:t xml:space="preserve"> (Filminstitutets riktlinjer)</w:t>
      </w:r>
      <w:r w:rsidR="00DD0E3C">
        <w:t xml:space="preserve">. </w:t>
      </w:r>
    </w:p>
    <w:p w:rsidR="00DD0E3C" w:rsidRDefault="00DD0E3C" w:rsidP="002141A3"/>
    <w:p w:rsidR="00DD0E3C" w:rsidRDefault="000467B9" w:rsidP="002141A3">
      <w:r>
        <w:t>Eftersom</w:t>
      </w:r>
      <w:r w:rsidR="000C7130">
        <w:t xml:space="preserve"> d</w:t>
      </w:r>
      <w:r w:rsidR="00824DA6">
        <w:t>et ofta kan vara svårt a</w:t>
      </w:r>
      <w:r w:rsidR="00DD0E3C">
        <w:t>tt</w:t>
      </w:r>
      <w:r w:rsidR="00824DA6">
        <w:t xml:space="preserve"> k</w:t>
      </w:r>
      <w:r w:rsidR="00A34C07">
        <w:t xml:space="preserve">änna igen röster är det </w:t>
      </w:r>
      <w:r>
        <w:t>viktigt a</w:t>
      </w:r>
      <w:r w:rsidR="00DD0E3C">
        <w:t>tt upprepa vem som säger vad</w:t>
      </w:r>
      <w:r w:rsidR="003029AC">
        <w:t xml:space="preserve"> genom att använda personernas namn</w:t>
      </w:r>
      <w:r w:rsidR="00DD0E3C">
        <w:t>.</w:t>
      </w:r>
    </w:p>
    <w:p w:rsidR="00A34C07" w:rsidRDefault="00A34C07" w:rsidP="002141A3"/>
    <w:p w:rsidR="005737C7" w:rsidRDefault="00A34C07" w:rsidP="002141A3">
      <w:r>
        <w:t xml:space="preserve">Det är viktigt att det inte blir för långa pauser i syntolkningen om det inte förekommer några dialoger. Det gäller även om det inte händer något speciellt. Tittaren kan då </w:t>
      </w:r>
      <w:r w:rsidR="005737C7">
        <w:t>börja undra vad som händer.</w:t>
      </w:r>
    </w:p>
    <w:p w:rsidR="005737C7" w:rsidRDefault="005737C7" w:rsidP="002141A3"/>
    <w:p w:rsidR="00CF0855" w:rsidRDefault="00CF0855" w:rsidP="002141A3">
      <w:r>
        <w:t>Syntolkningen får</w:t>
      </w:r>
      <w:r w:rsidR="00A34C07">
        <w:t xml:space="preserve"> i normalfallet inte </w:t>
      </w:r>
      <w:r>
        <w:t xml:space="preserve">göras samtidigt som talade moment i filmen. Ett undantag är </w:t>
      </w:r>
      <w:r w:rsidR="00F8245C">
        <w:t xml:space="preserve">dock </w:t>
      </w:r>
      <w:r>
        <w:t xml:space="preserve">om en </w:t>
      </w:r>
      <w:r w:rsidR="007537DD">
        <w:t>dialog förs på ett annat språk ä</w:t>
      </w:r>
      <w:r>
        <w:t>n svenska. Då ska en översätt</w:t>
      </w:r>
      <w:r w:rsidR="007537DD">
        <w:t>ning av dialogen läsas upp om</w:t>
      </w:r>
      <w:r>
        <w:t xml:space="preserve"> filmen är textad</w:t>
      </w:r>
      <w:r w:rsidR="00D10341">
        <w:t xml:space="preserve"> och den övervägande delen av filmen är på svenska</w:t>
      </w:r>
      <w:r>
        <w:t>. Dialogen ska inte sam</w:t>
      </w:r>
      <w:r w:rsidR="00BF58BE">
        <w:t>manfattas. Bland annat F</w:t>
      </w:r>
      <w:r>
        <w:t xml:space="preserve">ilminstitutets riktlinjer om ljudspårssyntolkning ger viss möjlighet till dialogsammanfattningar. </w:t>
      </w:r>
    </w:p>
    <w:p w:rsidR="00CF0855" w:rsidRDefault="00CF0855" w:rsidP="002141A3"/>
    <w:p w:rsidR="00A34C07" w:rsidRDefault="00EB5F64" w:rsidP="002141A3">
      <w:r>
        <w:t>Äv</w:t>
      </w:r>
      <w:r w:rsidR="00A34C07">
        <w:t>e</w:t>
      </w:r>
      <w:r>
        <w:t>n</w:t>
      </w:r>
      <w:r w:rsidR="00A34C07">
        <w:t xml:space="preserve"> skyltar och annan text som förekommer i filmen ska läsas upp. Det gäller också för- och eftertexter, i </w:t>
      </w:r>
      <w:r w:rsidR="00FC57C2">
        <w:t>den mån</w:t>
      </w:r>
      <w:r w:rsidR="00A34C07">
        <w:t xml:space="preserve"> det är praktiskt möjligt.</w:t>
      </w:r>
    </w:p>
    <w:p w:rsidR="00FC57C2" w:rsidRDefault="00FC57C2" w:rsidP="002141A3"/>
    <w:p w:rsidR="009E264A" w:rsidRDefault="00FC57C2" w:rsidP="00EA7433">
      <w:pPr>
        <w:pStyle w:val="Rubrik1"/>
      </w:pPr>
      <w:bookmarkStart w:id="8" w:name="_Toc474485038"/>
      <w:r>
        <w:t>S</w:t>
      </w:r>
      <w:r w:rsidR="009E264A">
        <w:t>yntolkningens ljud</w:t>
      </w:r>
      <w:bookmarkEnd w:id="8"/>
    </w:p>
    <w:p w:rsidR="00EB5F64" w:rsidRDefault="009E264A" w:rsidP="00EB5F64">
      <w:r>
        <w:t>Vid ljudspårssyntolkningar ska s</w:t>
      </w:r>
      <w:r w:rsidR="00FC57C2">
        <w:t xml:space="preserve">yntolkningsljudet </w:t>
      </w:r>
      <w:r w:rsidR="00A34C07">
        <w:t>regler</w:t>
      </w:r>
      <w:r w:rsidR="00EB5F64">
        <w:t>as utif</w:t>
      </w:r>
      <w:r w:rsidR="00A34C07">
        <w:t>r</w:t>
      </w:r>
      <w:r w:rsidR="00EB5F64">
        <w:t>ån filmlj</w:t>
      </w:r>
      <w:r w:rsidR="00A34C07">
        <w:t>u</w:t>
      </w:r>
      <w:r w:rsidR="00EB5F64">
        <w:t>d</w:t>
      </w:r>
      <w:r w:rsidR="00A34C07">
        <w:t>et</w:t>
      </w:r>
      <w:r w:rsidR="00F8245C">
        <w:t xml:space="preserve">, teaterljudet etc. Om </w:t>
      </w:r>
      <w:r w:rsidR="00824DA6">
        <w:t>ljudet är h</w:t>
      </w:r>
      <w:r w:rsidR="00EB5F64">
        <w:t>ö</w:t>
      </w:r>
      <w:r w:rsidR="00824DA6">
        <w:t>g</w:t>
      </w:r>
      <w:r w:rsidR="00EB5F64">
        <w:t>t m</w:t>
      </w:r>
      <w:r w:rsidR="00A34C07">
        <w:t>å</w:t>
      </w:r>
      <w:r w:rsidR="00EB5F64">
        <w:t>s</w:t>
      </w:r>
      <w:r w:rsidR="00A34C07">
        <w:t>te syntolkningsljudet tillfälligt höjas.</w:t>
      </w:r>
      <w:r w:rsidR="009861EE">
        <w:t xml:space="preserve"> Om det är fråga om ett syntolknings</w:t>
      </w:r>
      <w:r w:rsidR="00111849">
        <w:t>s</w:t>
      </w:r>
      <w:r w:rsidR="009861EE">
        <w:t>pår</w:t>
      </w:r>
      <w:r w:rsidR="00111849">
        <w:t xml:space="preserve"> på en </w:t>
      </w:r>
      <w:r w:rsidR="008E640B">
        <w:t>DVD-film</w:t>
      </w:r>
      <w:r w:rsidR="00111849">
        <w:t xml:space="preserve"> eller ett syntolkningsspår för en tv-produktion bör även filmljudet kunna justeras.</w:t>
      </w:r>
    </w:p>
    <w:p w:rsidR="009861EE" w:rsidRDefault="009861EE" w:rsidP="00EB5F64"/>
    <w:p w:rsidR="00A34C07" w:rsidRDefault="00050146" w:rsidP="00EA7433">
      <w:pPr>
        <w:pStyle w:val="Rubrik1"/>
      </w:pPr>
      <w:bookmarkStart w:id="9" w:name="_Toc474485039"/>
      <w:r>
        <w:t>Distribution av syntolkning</w:t>
      </w:r>
      <w:bookmarkEnd w:id="9"/>
    </w:p>
    <w:p w:rsidR="00050146" w:rsidRDefault="00050146" w:rsidP="002141A3">
      <w:r>
        <w:t>Distributionen av syntolkning måste ske på ett sätt som gör att det är enkelt för använda</w:t>
      </w:r>
      <w:r w:rsidR="00411C51">
        <w:t>ren att ta till sig syntolkning</w:t>
      </w:r>
      <w:r>
        <w:t>e</w:t>
      </w:r>
      <w:r w:rsidR="00411C51">
        <w:t>n</w:t>
      </w:r>
      <w:r>
        <w:t xml:space="preserve">. </w:t>
      </w:r>
      <w:r w:rsidR="00411C51">
        <w:t>Distributionen</w:t>
      </w:r>
      <w:r>
        <w:t xml:space="preserve"> måste vara stabil och pålitlig.</w:t>
      </w:r>
    </w:p>
    <w:p w:rsidR="00942060" w:rsidRDefault="00942060" w:rsidP="002141A3"/>
    <w:p w:rsidR="00942060" w:rsidRDefault="00942060" w:rsidP="00942060">
      <w:pPr>
        <w:pStyle w:val="Rubrik1"/>
      </w:pPr>
      <w:bookmarkStart w:id="10" w:name="_Toc474485040"/>
      <w:r>
        <w:t>Källo</w:t>
      </w:r>
      <w:bookmarkStart w:id="11" w:name="_GoBack"/>
      <w:bookmarkEnd w:id="11"/>
      <w:r>
        <w:t>r och inspiration</w:t>
      </w:r>
      <w:bookmarkEnd w:id="10"/>
    </w:p>
    <w:p w:rsidR="00942060" w:rsidRDefault="00942060" w:rsidP="00942060">
      <w:r>
        <w:t>Filminstitutets riktlinjer för ljudspårssyntolkning (2015),</w:t>
      </w:r>
    </w:p>
    <w:p w:rsidR="00942060" w:rsidRDefault="00942060" w:rsidP="00942060">
      <w:r>
        <w:t xml:space="preserve">Riktlinjer från Independent Television Commission (ITC) (2000) </w:t>
      </w:r>
    </w:p>
    <w:p w:rsidR="00942060" w:rsidRDefault="00942060" w:rsidP="00942060">
      <w:r>
        <w:t xml:space="preserve">Antologin </w:t>
      </w:r>
      <w:r>
        <w:rPr>
          <w:i/>
        </w:rPr>
        <w:t xml:space="preserve">Syntolkning: forskning och praktik </w:t>
      </w:r>
      <w:r>
        <w:t>av Jana Holsanova m.fl. (Myndigheten för tillgängliga medier och Lunds universitet 2016)</w:t>
      </w:r>
    </w:p>
    <w:p w:rsidR="00D76F36" w:rsidRDefault="00D76F36" w:rsidP="00942060"/>
    <w:p w:rsidR="00B43E21" w:rsidRDefault="00B43E21" w:rsidP="00B43E21"/>
    <w:p w:rsidR="00B43E21" w:rsidRDefault="00B43E21" w:rsidP="00B43E21">
      <w:r>
        <w:t>Antagen av förbundsstyrelsen 2017-03-10.</w:t>
      </w:r>
    </w:p>
    <w:p w:rsidR="00B43E21" w:rsidRDefault="00B43E21" w:rsidP="00B43E21"/>
    <w:p w:rsidR="00B43E21" w:rsidRDefault="00B43E21" w:rsidP="00B43E21">
      <w:r>
        <w:t xml:space="preserve">Detta material finns i följande versioner: på papper i tryckt text, </w:t>
      </w:r>
    </w:p>
    <w:p w:rsidR="00B43E21" w:rsidRDefault="00B43E21" w:rsidP="00B43E21">
      <w:r>
        <w:t xml:space="preserve">som punktskrift, som </w:t>
      </w:r>
      <w:proofErr w:type="spellStart"/>
      <w:r>
        <w:t>word</w:t>
      </w:r>
      <w:proofErr w:type="spellEnd"/>
      <w:r>
        <w:t xml:space="preserve">-fil, samt inläst på CD i DAISY-format. </w:t>
      </w:r>
    </w:p>
    <w:p w:rsidR="00B43E21" w:rsidRDefault="00B43E21" w:rsidP="00B43E21"/>
    <w:p w:rsidR="00B43E21" w:rsidRDefault="00B43E21" w:rsidP="00B43E21">
      <w:r>
        <w:t xml:space="preserve">Beställs hos SRF Kontorsservice, </w:t>
      </w:r>
      <w:proofErr w:type="spellStart"/>
      <w:r>
        <w:t>tel</w:t>
      </w:r>
      <w:proofErr w:type="spellEnd"/>
      <w:r>
        <w:t xml:space="preserve">: 08-39 90 00 </w:t>
      </w:r>
    </w:p>
    <w:p w:rsidR="00B43E21" w:rsidRDefault="00B43E21" w:rsidP="00B43E21">
      <w:r>
        <w:t>eller via e-post: kontorsservice@srf.nu</w:t>
      </w:r>
    </w:p>
    <w:sectPr w:rsidR="00B43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97" w:rsidRDefault="00B33C97" w:rsidP="006A5462">
      <w:r>
        <w:separator/>
      </w:r>
    </w:p>
  </w:endnote>
  <w:endnote w:type="continuationSeparator" w:id="0">
    <w:p w:rsidR="00B33C97" w:rsidRDefault="00B33C97" w:rsidP="006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51" w:rsidRDefault="00411C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51" w:rsidRDefault="00411C5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51" w:rsidRDefault="00411C5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97" w:rsidRDefault="00B33C97" w:rsidP="006A5462">
      <w:r>
        <w:separator/>
      </w:r>
    </w:p>
  </w:footnote>
  <w:footnote w:type="continuationSeparator" w:id="0">
    <w:p w:rsidR="00B33C97" w:rsidRDefault="00B33C97" w:rsidP="006A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51" w:rsidRDefault="00411C5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51" w:rsidRDefault="00411C5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51" w:rsidRDefault="00411C5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62"/>
    <w:rsid w:val="00025A78"/>
    <w:rsid w:val="00025DC4"/>
    <w:rsid w:val="000266B5"/>
    <w:rsid w:val="00033FBA"/>
    <w:rsid w:val="000467B9"/>
    <w:rsid w:val="00050146"/>
    <w:rsid w:val="00057406"/>
    <w:rsid w:val="000623BF"/>
    <w:rsid w:val="000635B0"/>
    <w:rsid w:val="00076CF2"/>
    <w:rsid w:val="0008186D"/>
    <w:rsid w:val="00086BCC"/>
    <w:rsid w:val="00092608"/>
    <w:rsid w:val="000A59CA"/>
    <w:rsid w:val="000A5C12"/>
    <w:rsid w:val="000C7130"/>
    <w:rsid w:val="000D3059"/>
    <w:rsid w:val="000F4DAB"/>
    <w:rsid w:val="001012A5"/>
    <w:rsid w:val="001055D7"/>
    <w:rsid w:val="00111849"/>
    <w:rsid w:val="00121956"/>
    <w:rsid w:val="00123ED6"/>
    <w:rsid w:val="00125F44"/>
    <w:rsid w:val="001263B8"/>
    <w:rsid w:val="001279A0"/>
    <w:rsid w:val="00141B59"/>
    <w:rsid w:val="00161836"/>
    <w:rsid w:val="00166A99"/>
    <w:rsid w:val="00170E9D"/>
    <w:rsid w:val="0017607A"/>
    <w:rsid w:val="00177ACA"/>
    <w:rsid w:val="00180DFF"/>
    <w:rsid w:val="00192C2B"/>
    <w:rsid w:val="001B4050"/>
    <w:rsid w:val="001B741C"/>
    <w:rsid w:val="001C40E6"/>
    <w:rsid w:val="001D5428"/>
    <w:rsid w:val="001F142A"/>
    <w:rsid w:val="00207237"/>
    <w:rsid w:val="002117EC"/>
    <w:rsid w:val="00212260"/>
    <w:rsid w:val="002141A3"/>
    <w:rsid w:val="0021575B"/>
    <w:rsid w:val="0022669C"/>
    <w:rsid w:val="002447C4"/>
    <w:rsid w:val="00246F71"/>
    <w:rsid w:val="00252A34"/>
    <w:rsid w:val="00252BC0"/>
    <w:rsid w:val="002573CB"/>
    <w:rsid w:val="00277631"/>
    <w:rsid w:val="00280C63"/>
    <w:rsid w:val="002811A4"/>
    <w:rsid w:val="00287F31"/>
    <w:rsid w:val="002951CE"/>
    <w:rsid w:val="00296B3E"/>
    <w:rsid w:val="002A395B"/>
    <w:rsid w:val="002B2EA0"/>
    <w:rsid w:val="002E6E3B"/>
    <w:rsid w:val="002F39D1"/>
    <w:rsid w:val="003029AC"/>
    <w:rsid w:val="00302C13"/>
    <w:rsid w:val="00311F33"/>
    <w:rsid w:val="003123DD"/>
    <w:rsid w:val="00332316"/>
    <w:rsid w:val="003356AB"/>
    <w:rsid w:val="003628C2"/>
    <w:rsid w:val="00377F55"/>
    <w:rsid w:val="003832BB"/>
    <w:rsid w:val="00385237"/>
    <w:rsid w:val="00392CB0"/>
    <w:rsid w:val="00394BB0"/>
    <w:rsid w:val="003A1708"/>
    <w:rsid w:val="003A65C3"/>
    <w:rsid w:val="003A7E57"/>
    <w:rsid w:val="003B59B7"/>
    <w:rsid w:val="003C4A1E"/>
    <w:rsid w:val="003D54BB"/>
    <w:rsid w:val="003E0711"/>
    <w:rsid w:val="00405B94"/>
    <w:rsid w:val="00411C51"/>
    <w:rsid w:val="00426019"/>
    <w:rsid w:val="004266DD"/>
    <w:rsid w:val="00443F3E"/>
    <w:rsid w:val="0045240E"/>
    <w:rsid w:val="00454C9B"/>
    <w:rsid w:val="00455B03"/>
    <w:rsid w:val="004637D5"/>
    <w:rsid w:val="00486AF1"/>
    <w:rsid w:val="00486D60"/>
    <w:rsid w:val="00487F78"/>
    <w:rsid w:val="004C0A68"/>
    <w:rsid w:val="004C2D14"/>
    <w:rsid w:val="004C75BF"/>
    <w:rsid w:val="004D07C3"/>
    <w:rsid w:val="004D281C"/>
    <w:rsid w:val="004E18D9"/>
    <w:rsid w:val="004E42DF"/>
    <w:rsid w:val="004E594A"/>
    <w:rsid w:val="004F53C1"/>
    <w:rsid w:val="004F559B"/>
    <w:rsid w:val="00502EB7"/>
    <w:rsid w:val="00503073"/>
    <w:rsid w:val="00506F34"/>
    <w:rsid w:val="00566264"/>
    <w:rsid w:val="005737C7"/>
    <w:rsid w:val="00573E1E"/>
    <w:rsid w:val="00575599"/>
    <w:rsid w:val="00587A85"/>
    <w:rsid w:val="005A207F"/>
    <w:rsid w:val="005B5E40"/>
    <w:rsid w:val="005C19F9"/>
    <w:rsid w:val="005F3026"/>
    <w:rsid w:val="005F5537"/>
    <w:rsid w:val="00600B73"/>
    <w:rsid w:val="0061054C"/>
    <w:rsid w:val="0061781B"/>
    <w:rsid w:val="00620286"/>
    <w:rsid w:val="00631E71"/>
    <w:rsid w:val="00633B54"/>
    <w:rsid w:val="006431EB"/>
    <w:rsid w:val="00656306"/>
    <w:rsid w:val="006564E8"/>
    <w:rsid w:val="0065731E"/>
    <w:rsid w:val="00666289"/>
    <w:rsid w:val="0068607F"/>
    <w:rsid w:val="0068645D"/>
    <w:rsid w:val="00691D58"/>
    <w:rsid w:val="006A3535"/>
    <w:rsid w:val="006A4131"/>
    <w:rsid w:val="006A5462"/>
    <w:rsid w:val="006A717B"/>
    <w:rsid w:val="006A76AB"/>
    <w:rsid w:val="006B0CFF"/>
    <w:rsid w:val="006C0451"/>
    <w:rsid w:val="006C4075"/>
    <w:rsid w:val="006C7BA9"/>
    <w:rsid w:val="006D7FEB"/>
    <w:rsid w:val="006E3C88"/>
    <w:rsid w:val="006E52D3"/>
    <w:rsid w:val="006E6105"/>
    <w:rsid w:val="006F3282"/>
    <w:rsid w:val="007075A8"/>
    <w:rsid w:val="007220DB"/>
    <w:rsid w:val="0073273A"/>
    <w:rsid w:val="00745DE6"/>
    <w:rsid w:val="007537DD"/>
    <w:rsid w:val="007707B7"/>
    <w:rsid w:val="00773236"/>
    <w:rsid w:val="00777E65"/>
    <w:rsid w:val="00781CF8"/>
    <w:rsid w:val="00786087"/>
    <w:rsid w:val="00792B35"/>
    <w:rsid w:val="00795454"/>
    <w:rsid w:val="007A3112"/>
    <w:rsid w:val="007A5B34"/>
    <w:rsid w:val="007B10E5"/>
    <w:rsid w:val="007E1EEA"/>
    <w:rsid w:val="007F6989"/>
    <w:rsid w:val="008034E6"/>
    <w:rsid w:val="00813FFC"/>
    <w:rsid w:val="00824DA6"/>
    <w:rsid w:val="0083022F"/>
    <w:rsid w:val="00841069"/>
    <w:rsid w:val="008545B5"/>
    <w:rsid w:val="008771F4"/>
    <w:rsid w:val="008B1550"/>
    <w:rsid w:val="008D0FDA"/>
    <w:rsid w:val="008D5A9D"/>
    <w:rsid w:val="008E640B"/>
    <w:rsid w:val="008F1E13"/>
    <w:rsid w:val="008F3D11"/>
    <w:rsid w:val="00903E0C"/>
    <w:rsid w:val="0091137B"/>
    <w:rsid w:val="00921B94"/>
    <w:rsid w:val="00935895"/>
    <w:rsid w:val="009358A9"/>
    <w:rsid w:val="00937D28"/>
    <w:rsid w:val="009418EE"/>
    <w:rsid w:val="00941EFF"/>
    <w:rsid w:val="00942060"/>
    <w:rsid w:val="009424A6"/>
    <w:rsid w:val="00944351"/>
    <w:rsid w:val="009548C8"/>
    <w:rsid w:val="00955632"/>
    <w:rsid w:val="009660F5"/>
    <w:rsid w:val="009679E8"/>
    <w:rsid w:val="009861EE"/>
    <w:rsid w:val="009870B3"/>
    <w:rsid w:val="009B7845"/>
    <w:rsid w:val="009D3989"/>
    <w:rsid w:val="009D6EBD"/>
    <w:rsid w:val="009E264A"/>
    <w:rsid w:val="009E3422"/>
    <w:rsid w:val="009E4D7B"/>
    <w:rsid w:val="009F13A7"/>
    <w:rsid w:val="009F2669"/>
    <w:rsid w:val="009F27AE"/>
    <w:rsid w:val="009F566F"/>
    <w:rsid w:val="00A05342"/>
    <w:rsid w:val="00A26C10"/>
    <w:rsid w:val="00A31B14"/>
    <w:rsid w:val="00A31C14"/>
    <w:rsid w:val="00A34C07"/>
    <w:rsid w:val="00A4715A"/>
    <w:rsid w:val="00A54C9B"/>
    <w:rsid w:val="00A558E5"/>
    <w:rsid w:val="00A56D9E"/>
    <w:rsid w:val="00A61424"/>
    <w:rsid w:val="00A65468"/>
    <w:rsid w:val="00A91B53"/>
    <w:rsid w:val="00A929B3"/>
    <w:rsid w:val="00A954EE"/>
    <w:rsid w:val="00AA0116"/>
    <w:rsid w:val="00AA6DD1"/>
    <w:rsid w:val="00AA7334"/>
    <w:rsid w:val="00AB4CA5"/>
    <w:rsid w:val="00AD5895"/>
    <w:rsid w:val="00AE6EAB"/>
    <w:rsid w:val="00AF06F1"/>
    <w:rsid w:val="00AF1F51"/>
    <w:rsid w:val="00AF478B"/>
    <w:rsid w:val="00B33C97"/>
    <w:rsid w:val="00B33CD0"/>
    <w:rsid w:val="00B43E21"/>
    <w:rsid w:val="00B53CB5"/>
    <w:rsid w:val="00B5666B"/>
    <w:rsid w:val="00B57169"/>
    <w:rsid w:val="00B57C30"/>
    <w:rsid w:val="00B620E3"/>
    <w:rsid w:val="00B65946"/>
    <w:rsid w:val="00B67ED4"/>
    <w:rsid w:val="00B756A6"/>
    <w:rsid w:val="00B87970"/>
    <w:rsid w:val="00B941FD"/>
    <w:rsid w:val="00B97FFB"/>
    <w:rsid w:val="00BB208A"/>
    <w:rsid w:val="00BC1EEB"/>
    <w:rsid w:val="00BC6677"/>
    <w:rsid w:val="00BC6875"/>
    <w:rsid w:val="00BD76CB"/>
    <w:rsid w:val="00BF58BE"/>
    <w:rsid w:val="00C011FD"/>
    <w:rsid w:val="00C43B2C"/>
    <w:rsid w:val="00C5346F"/>
    <w:rsid w:val="00C53532"/>
    <w:rsid w:val="00C63A1D"/>
    <w:rsid w:val="00C64B3D"/>
    <w:rsid w:val="00C812F5"/>
    <w:rsid w:val="00C81F4C"/>
    <w:rsid w:val="00C843C3"/>
    <w:rsid w:val="00C94C2C"/>
    <w:rsid w:val="00CD1578"/>
    <w:rsid w:val="00CD710D"/>
    <w:rsid w:val="00CE3D25"/>
    <w:rsid w:val="00CF0855"/>
    <w:rsid w:val="00D10341"/>
    <w:rsid w:val="00D10F0C"/>
    <w:rsid w:val="00D25AD8"/>
    <w:rsid w:val="00D30CAF"/>
    <w:rsid w:val="00D43E55"/>
    <w:rsid w:val="00D53119"/>
    <w:rsid w:val="00D555C1"/>
    <w:rsid w:val="00D7398B"/>
    <w:rsid w:val="00D76F36"/>
    <w:rsid w:val="00D828EB"/>
    <w:rsid w:val="00DA00EF"/>
    <w:rsid w:val="00DA516B"/>
    <w:rsid w:val="00DC32B1"/>
    <w:rsid w:val="00DD0E3C"/>
    <w:rsid w:val="00DF3E98"/>
    <w:rsid w:val="00E15004"/>
    <w:rsid w:val="00E41C34"/>
    <w:rsid w:val="00E46688"/>
    <w:rsid w:val="00E61532"/>
    <w:rsid w:val="00E70DF5"/>
    <w:rsid w:val="00EA129B"/>
    <w:rsid w:val="00EA7433"/>
    <w:rsid w:val="00EB5F64"/>
    <w:rsid w:val="00EC2887"/>
    <w:rsid w:val="00ED73F4"/>
    <w:rsid w:val="00EF701F"/>
    <w:rsid w:val="00F072CD"/>
    <w:rsid w:val="00F31062"/>
    <w:rsid w:val="00F34128"/>
    <w:rsid w:val="00F3541B"/>
    <w:rsid w:val="00F50A35"/>
    <w:rsid w:val="00F8245C"/>
    <w:rsid w:val="00F83163"/>
    <w:rsid w:val="00F94950"/>
    <w:rsid w:val="00FA1C4C"/>
    <w:rsid w:val="00FC2D14"/>
    <w:rsid w:val="00FC57C2"/>
    <w:rsid w:val="00FC6BC0"/>
    <w:rsid w:val="00FE176D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B54"/>
  </w:style>
  <w:style w:type="paragraph" w:styleId="Rubrik1">
    <w:name w:val="heading 1"/>
    <w:basedOn w:val="Normal"/>
    <w:next w:val="Normal"/>
    <w:link w:val="Rubrik1Char"/>
    <w:uiPriority w:val="9"/>
    <w:qFormat/>
    <w:rsid w:val="002B2EA0"/>
    <w:pPr>
      <w:keepNext/>
      <w:keepLines/>
      <w:spacing w:before="480" w:line="276" w:lineRule="auto"/>
      <w:outlineLvl w:val="0"/>
    </w:pPr>
    <w:rPr>
      <w:rFonts w:eastAsia="Times New Roman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0CFF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A8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B0CFF"/>
    <w:rPr>
      <w:rFonts w:eastAsiaTheme="majorEastAsia" w:cstheme="majorBidi"/>
      <w:b/>
      <w:bCs/>
      <w:sz w:val="32"/>
      <w:szCs w:val="26"/>
    </w:rPr>
  </w:style>
  <w:style w:type="character" w:customStyle="1" w:styleId="Rubrik1Char">
    <w:name w:val="Rubrik 1 Char"/>
    <w:link w:val="Rubrik1"/>
    <w:uiPriority w:val="9"/>
    <w:rsid w:val="002B2EA0"/>
    <w:rPr>
      <w:rFonts w:eastAsia="Times New Roman"/>
      <w:b/>
      <w:bCs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87A85"/>
    <w:rPr>
      <w:rFonts w:eastAsiaTheme="majorEastAsia" w:cstheme="majorBidi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6A54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5462"/>
  </w:style>
  <w:style w:type="paragraph" w:styleId="Sidfot">
    <w:name w:val="footer"/>
    <w:basedOn w:val="Normal"/>
    <w:link w:val="SidfotChar"/>
    <w:uiPriority w:val="99"/>
    <w:unhideWhenUsed/>
    <w:rsid w:val="006A546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5462"/>
  </w:style>
  <w:style w:type="paragraph" w:styleId="Innehll1">
    <w:name w:val="toc 1"/>
    <w:basedOn w:val="Normal"/>
    <w:next w:val="Normal"/>
    <w:autoRedefine/>
    <w:uiPriority w:val="39"/>
    <w:unhideWhenUsed/>
    <w:rsid w:val="00EA743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EA74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B54"/>
  </w:style>
  <w:style w:type="paragraph" w:styleId="Rubrik1">
    <w:name w:val="heading 1"/>
    <w:basedOn w:val="Normal"/>
    <w:next w:val="Normal"/>
    <w:link w:val="Rubrik1Char"/>
    <w:uiPriority w:val="9"/>
    <w:qFormat/>
    <w:rsid w:val="002B2EA0"/>
    <w:pPr>
      <w:keepNext/>
      <w:keepLines/>
      <w:spacing w:before="480" w:line="276" w:lineRule="auto"/>
      <w:outlineLvl w:val="0"/>
    </w:pPr>
    <w:rPr>
      <w:rFonts w:eastAsia="Times New Roman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0CFF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A8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B0CFF"/>
    <w:rPr>
      <w:rFonts w:eastAsiaTheme="majorEastAsia" w:cstheme="majorBidi"/>
      <w:b/>
      <w:bCs/>
      <w:sz w:val="32"/>
      <w:szCs w:val="26"/>
    </w:rPr>
  </w:style>
  <w:style w:type="character" w:customStyle="1" w:styleId="Rubrik1Char">
    <w:name w:val="Rubrik 1 Char"/>
    <w:link w:val="Rubrik1"/>
    <w:uiPriority w:val="9"/>
    <w:rsid w:val="002B2EA0"/>
    <w:rPr>
      <w:rFonts w:eastAsia="Times New Roman"/>
      <w:b/>
      <w:bCs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87A85"/>
    <w:rPr>
      <w:rFonts w:eastAsiaTheme="majorEastAsia" w:cstheme="majorBidi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6A54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A5462"/>
  </w:style>
  <w:style w:type="paragraph" w:styleId="Sidfot">
    <w:name w:val="footer"/>
    <w:basedOn w:val="Normal"/>
    <w:link w:val="SidfotChar"/>
    <w:uiPriority w:val="99"/>
    <w:unhideWhenUsed/>
    <w:rsid w:val="006A546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A5462"/>
  </w:style>
  <w:style w:type="paragraph" w:styleId="Innehll1">
    <w:name w:val="toc 1"/>
    <w:basedOn w:val="Normal"/>
    <w:next w:val="Normal"/>
    <w:autoRedefine/>
    <w:uiPriority w:val="39"/>
    <w:unhideWhenUsed/>
    <w:rsid w:val="00EA743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EA7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8FB0-0654-43BB-ABF1-673EC6A0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Synskadades Riksförbund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Götesson</dc:creator>
  <cp:lastModifiedBy>Elina Lööw</cp:lastModifiedBy>
  <cp:revision>2</cp:revision>
  <dcterms:created xsi:type="dcterms:W3CDTF">2017-09-28T10:42:00Z</dcterms:created>
  <dcterms:modified xsi:type="dcterms:W3CDTF">2017-09-28T10:42:00Z</dcterms:modified>
</cp:coreProperties>
</file>