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97" w:rsidRDefault="008A667E" w:rsidP="008A667E">
      <w:pPr>
        <w:rPr>
          <w:rFonts w:cs="Arial"/>
          <w:b/>
          <w:szCs w:val="28"/>
        </w:rPr>
      </w:pPr>
      <w:r>
        <w:rPr>
          <w:noProof/>
          <w:lang w:eastAsia="sv-SE"/>
        </w:rPr>
        <w:drawing>
          <wp:inline distT="0" distB="0" distL="0" distR="0" wp14:anchorId="139313C1" wp14:editId="0C697D4D">
            <wp:extent cx="1955800" cy="596900"/>
            <wp:effectExtent l="0" t="0" r="6350" b="0"/>
            <wp:docPr id="1" name="Bildobjekt 1" desc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55800" cy="596900"/>
                    </a:xfrm>
                    <a:prstGeom prst="rect">
                      <a:avLst/>
                    </a:prstGeom>
                    <a:noFill/>
                    <a:ln>
                      <a:noFill/>
                    </a:ln>
                  </pic:spPr>
                </pic:pic>
              </a:graphicData>
            </a:graphic>
          </wp:inline>
        </w:drawing>
      </w:r>
      <w:r>
        <w:rPr>
          <w:rFonts w:cs="Arial"/>
          <w:b/>
          <w:szCs w:val="28"/>
        </w:rPr>
        <w:tab/>
      </w:r>
      <w:r w:rsidR="00740597" w:rsidRPr="00685011">
        <w:rPr>
          <w:rFonts w:cs="Arial"/>
          <w:b/>
          <w:szCs w:val="28"/>
        </w:rPr>
        <w:t>REMISSVAR</w:t>
      </w:r>
      <w:r w:rsidR="00740597" w:rsidRPr="00685011">
        <w:rPr>
          <w:rFonts w:cs="Arial"/>
          <w:b/>
          <w:szCs w:val="28"/>
        </w:rPr>
        <w:tab/>
      </w:r>
      <w:r w:rsidR="00EF6E1F">
        <w:rPr>
          <w:rFonts w:cs="Arial"/>
          <w:b/>
          <w:szCs w:val="28"/>
        </w:rPr>
        <w:t xml:space="preserve"> </w:t>
      </w:r>
      <w:r w:rsidR="00740597" w:rsidRPr="00685011">
        <w:rPr>
          <w:rFonts w:cs="Arial"/>
          <w:b/>
          <w:szCs w:val="28"/>
        </w:rPr>
        <w:t xml:space="preserve">Dnr </w:t>
      </w:r>
      <w:r w:rsidR="00B62182">
        <w:rPr>
          <w:rFonts w:cs="Arial"/>
          <w:b/>
          <w:szCs w:val="28"/>
        </w:rPr>
        <w:t>26/2018</w:t>
      </w:r>
    </w:p>
    <w:p w:rsidR="00740597" w:rsidRDefault="00740597" w:rsidP="00740597">
      <w:pPr>
        <w:pStyle w:val="Sidfot"/>
        <w:jc w:val="center"/>
        <w:rPr>
          <w:rFonts w:cs="Arial"/>
          <w:szCs w:val="28"/>
        </w:rPr>
      </w:pPr>
    </w:p>
    <w:p w:rsidR="00740597" w:rsidRPr="00685011" w:rsidRDefault="00740597" w:rsidP="00740597">
      <w:pPr>
        <w:pStyle w:val="Sidfot"/>
        <w:jc w:val="center"/>
        <w:rPr>
          <w:rFonts w:cs="Arial"/>
          <w:szCs w:val="28"/>
        </w:rPr>
      </w:pPr>
    </w:p>
    <w:p w:rsidR="00740597" w:rsidRPr="00685011" w:rsidRDefault="00740597" w:rsidP="00740597">
      <w:pPr>
        <w:pStyle w:val="Sidfot"/>
        <w:jc w:val="center"/>
        <w:rPr>
          <w:rFonts w:cs="Arial"/>
          <w:szCs w:val="28"/>
        </w:rPr>
      </w:pPr>
    </w:p>
    <w:p w:rsidR="00740597" w:rsidRPr="00685011" w:rsidRDefault="00EF6E1F" w:rsidP="00740597">
      <w:pPr>
        <w:tabs>
          <w:tab w:val="left" w:pos="3969"/>
          <w:tab w:val="left" w:pos="6804"/>
        </w:tabs>
        <w:rPr>
          <w:rFonts w:cs="Arial"/>
          <w:b/>
          <w:szCs w:val="28"/>
        </w:rPr>
      </w:pPr>
      <w:r>
        <w:rPr>
          <w:rFonts w:cs="Arial"/>
          <w:b/>
          <w:szCs w:val="28"/>
        </w:rPr>
        <w:t>Handläggare</w:t>
      </w:r>
      <w:r>
        <w:rPr>
          <w:rFonts w:cs="Arial"/>
          <w:b/>
          <w:szCs w:val="28"/>
        </w:rPr>
        <w:tab/>
      </w:r>
      <w:r>
        <w:rPr>
          <w:rFonts w:cs="Arial"/>
          <w:b/>
          <w:szCs w:val="28"/>
        </w:rPr>
        <w:tab/>
      </w:r>
      <w:r w:rsidR="004C2955">
        <w:rPr>
          <w:rFonts w:cs="Arial"/>
          <w:b/>
          <w:szCs w:val="28"/>
        </w:rPr>
        <w:t>201</w:t>
      </w:r>
      <w:r w:rsidR="002D0230">
        <w:rPr>
          <w:rFonts w:cs="Arial"/>
          <w:b/>
          <w:szCs w:val="28"/>
        </w:rPr>
        <w:t>8-02-06</w:t>
      </w:r>
    </w:p>
    <w:p w:rsidR="00740597" w:rsidRPr="00685011" w:rsidRDefault="00740597" w:rsidP="00740597">
      <w:pPr>
        <w:ind w:left="-709" w:firstLine="709"/>
        <w:rPr>
          <w:rFonts w:cs="Arial"/>
          <w:b/>
          <w:szCs w:val="28"/>
        </w:rPr>
      </w:pPr>
      <w:r w:rsidRPr="00685011">
        <w:rPr>
          <w:rFonts w:cs="Arial"/>
          <w:b/>
          <w:szCs w:val="28"/>
        </w:rPr>
        <w:t>Henrik Götesson</w:t>
      </w:r>
    </w:p>
    <w:p w:rsidR="00740597" w:rsidRPr="00685011" w:rsidRDefault="00740597" w:rsidP="00740597">
      <w:pPr>
        <w:ind w:left="-709" w:firstLine="709"/>
        <w:rPr>
          <w:rFonts w:cs="Arial"/>
          <w:b/>
          <w:szCs w:val="28"/>
        </w:rPr>
      </w:pPr>
      <w:r w:rsidRPr="00685011">
        <w:rPr>
          <w:rFonts w:cs="Arial"/>
          <w:b/>
          <w:szCs w:val="28"/>
        </w:rPr>
        <w:t>Telefon 08-39 91 49</w:t>
      </w:r>
      <w:r w:rsidRPr="00685011">
        <w:rPr>
          <w:rFonts w:cs="Arial"/>
          <w:b/>
          <w:szCs w:val="28"/>
        </w:rPr>
        <w:tab/>
      </w:r>
      <w:r w:rsidRPr="00685011">
        <w:rPr>
          <w:rFonts w:cs="Arial"/>
          <w:b/>
          <w:szCs w:val="28"/>
        </w:rPr>
        <w:tab/>
      </w:r>
    </w:p>
    <w:p w:rsidR="00740597" w:rsidRPr="00685011" w:rsidRDefault="00740597" w:rsidP="00740597">
      <w:pPr>
        <w:rPr>
          <w:rFonts w:cs="Arial"/>
          <w:b/>
          <w:szCs w:val="28"/>
        </w:rPr>
      </w:pPr>
      <w:r w:rsidRPr="00685011">
        <w:rPr>
          <w:rFonts w:cs="Arial"/>
          <w:b/>
          <w:szCs w:val="28"/>
        </w:rPr>
        <w:t xml:space="preserve">henrik.gotesson@srf.nu </w:t>
      </w:r>
      <w:r w:rsidRPr="00685011">
        <w:rPr>
          <w:rFonts w:cs="Arial"/>
          <w:b/>
          <w:szCs w:val="28"/>
        </w:rPr>
        <w:tab/>
      </w:r>
    </w:p>
    <w:p w:rsidR="00740597" w:rsidRDefault="00740597" w:rsidP="00740597">
      <w:pPr>
        <w:ind w:left="2611" w:firstLine="1304"/>
        <w:rPr>
          <w:rFonts w:cs="Arial"/>
          <w:b/>
          <w:szCs w:val="28"/>
        </w:rPr>
      </w:pPr>
    </w:p>
    <w:p w:rsidR="00740597" w:rsidRPr="00FB57D8" w:rsidRDefault="00740597" w:rsidP="00740597">
      <w:pPr>
        <w:ind w:left="2611" w:firstLine="1304"/>
        <w:rPr>
          <w:rFonts w:cs="Arial"/>
          <w:b/>
          <w:szCs w:val="28"/>
        </w:rPr>
      </w:pPr>
    </w:p>
    <w:p w:rsidR="000977CA" w:rsidRDefault="000977CA" w:rsidP="00740597">
      <w:pPr>
        <w:ind w:left="3912" w:firstLine="3"/>
        <w:rPr>
          <w:b/>
        </w:rPr>
      </w:pPr>
      <w:r>
        <w:rPr>
          <w:b/>
        </w:rPr>
        <w:t>Finansdepartementet</w:t>
      </w:r>
    </w:p>
    <w:p w:rsidR="00740597" w:rsidRPr="00FB57D8" w:rsidRDefault="00740597" w:rsidP="00740597">
      <w:pPr>
        <w:ind w:left="3912" w:firstLine="3"/>
        <w:rPr>
          <w:rFonts w:cs="Arial"/>
          <w:b/>
          <w:szCs w:val="28"/>
        </w:rPr>
      </w:pPr>
      <w:r w:rsidRPr="00FB57D8">
        <w:rPr>
          <w:b/>
        </w:rPr>
        <w:t>103 33 STOCKHOLM</w:t>
      </w:r>
    </w:p>
    <w:p w:rsidR="00740597" w:rsidRDefault="00740597" w:rsidP="00740597">
      <w:pPr>
        <w:ind w:left="2611" w:firstLine="1304"/>
        <w:rPr>
          <w:rFonts w:cs="Arial"/>
          <w:b/>
          <w:szCs w:val="28"/>
        </w:rPr>
      </w:pPr>
    </w:p>
    <w:p w:rsidR="00740597" w:rsidRPr="00FB57D8" w:rsidRDefault="00740597" w:rsidP="00740597">
      <w:pPr>
        <w:rPr>
          <w:b/>
        </w:rPr>
      </w:pPr>
    </w:p>
    <w:p w:rsidR="00740597" w:rsidRPr="00FB57D8" w:rsidRDefault="00740597" w:rsidP="00740597">
      <w:pPr>
        <w:rPr>
          <w:i/>
        </w:rPr>
      </w:pPr>
    </w:p>
    <w:p w:rsidR="00740597" w:rsidRPr="00FB57D8" w:rsidRDefault="00740597" w:rsidP="00740597">
      <w:pPr>
        <w:rPr>
          <w:i/>
        </w:rPr>
      </w:pPr>
    </w:p>
    <w:p w:rsidR="00740597" w:rsidRPr="00AF611B" w:rsidRDefault="00740597" w:rsidP="00AF611B">
      <w:pPr>
        <w:rPr>
          <w:b/>
          <w:sz w:val="40"/>
        </w:rPr>
      </w:pPr>
      <w:r w:rsidRPr="00AF611B">
        <w:rPr>
          <w:b/>
          <w:sz w:val="40"/>
        </w:rPr>
        <w:t xml:space="preserve">Remissyttrande över promemorian "Genomförande av webbtillgänglighetsdirektivet" (DS </w:t>
      </w:r>
      <w:r w:rsidR="005F3F9D" w:rsidRPr="00AF611B">
        <w:rPr>
          <w:b/>
          <w:sz w:val="40"/>
        </w:rPr>
        <w:t>2017:60</w:t>
      </w:r>
      <w:r w:rsidR="00C87806" w:rsidRPr="00AF611B">
        <w:rPr>
          <w:b/>
          <w:sz w:val="40"/>
        </w:rPr>
        <w:t>) Fi2016/04244/DF</w:t>
      </w:r>
    </w:p>
    <w:p w:rsidR="00AA6E00" w:rsidRDefault="00AA6E00"/>
    <w:p w:rsidR="00246A14" w:rsidRDefault="00992952">
      <w:r>
        <w:t>Innehåll</w:t>
      </w:r>
    </w:p>
    <w:p w:rsidR="00246A14" w:rsidRDefault="00246A14"/>
    <w:p w:rsidR="00497229" w:rsidRDefault="00246A14">
      <w:pPr>
        <w:pStyle w:val="Innehll1"/>
        <w:tabs>
          <w:tab w:val="right" w:leader="dot" w:pos="9062"/>
        </w:tabs>
        <w:rPr>
          <w:rFonts w:asciiTheme="minorHAnsi" w:eastAsiaTheme="minorEastAsia" w:hAnsiTheme="minorHAnsi" w:cstheme="minorBidi"/>
          <w:bCs w:val="0"/>
          <w:noProof/>
          <w:sz w:val="22"/>
          <w:szCs w:val="22"/>
          <w:lang w:eastAsia="sv-SE"/>
        </w:rPr>
      </w:pPr>
      <w:r>
        <w:fldChar w:fldCharType="begin"/>
      </w:r>
      <w:r>
        <w:instrText xml:space="preserve"> TOC \o "1-2" \h \z \u </w:instrText>
      </w:r>
      <w:r>
        <w:fldChar w:fldCharType="separate"/>
      </w:r>
      <w:hyperlink w:anchor="_Toc503945058" w:history="1">
        <w:r w:rsidR="00497229" w:rsidRPr="008B4FBF">
          <w:rPr>
            <w:rStyle w:val="Hyperlnk"/>
            <w:noProof/>
          </w:rPr>
          <w:t>Inledning med övergripande slutsatser</w:t>
        </w:r>
        <w:r w:rsidR="00497229">
          <w:rPr>
            <w:noProof/>
            <w:webHidden/>
          </w:rPr>
          <w:tab/>
        </w:r>
        <w:r w:rsidR="00497229">
          <w:rPr>
            <w:rStyle w:val="Hyperlnk"/>
            <w:noProof/>
          </w:rPr>
          <w:fldChar w:fldCharType="begin"/>
        </w:r>
        <w:r w:rsidR="00497229">
          <w:rPr>
            <w:noProof/>
            <w:webHidden/>
          </w:rPr>
          <w:instrText xml:space="preserve"> PAGEREF _Toc503945058 \h </w:instrText>
        </w:r>
        <w:r w:rsidR="00497229">
          <w:rPr>
            <w:rStyle w:val="Hyperlnk"/>
            <w:noProof/>
          </w:rPr>
        </w:r>
        <w:r w:rsidR="00497229">
          <w:rPr>
            <w:rStyle w:val="Hyperlnk"/>
            <w:noProof/>
          </w:rPr>
          <w:fldChar w:fldCharType="separate"/>
        </w:r>
        <w:r w:rsidR="00B62182">
          <w:rPr>
            <w:noProof/>
            <w:webHidden/>
          </w:rPr>
          <w:t>2</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59" w:history="1">
        <w:r w:rsidR="00497229" w:rsidRPr="008B4FBF">
          <w:rPr>
            <w:rStyle w:val="Hyperlnk"/>
            <w:noProof/>
          </w:rPr>
          <w:t>Viktiga utgångspunkter</w:t>
        </w:r>
        <w:r w:rsidR="00497229">
          <w:rPr>
            <w:noProof/>
            <w:webHidden/>
          </w:rPr>
          <w:tab/>
        </w:r>
        <w:r w:rsidR="00497229">
          <w:rPr>
            <w:rStyle w:val="Hyperlnk"/>
            <w:noProof/>
          </w:rPr>
          <w:fldChar w:fldCharType="begin"/>
        </w:r>
        <w:r w:rsidR="00497229">
          <w:rPr>
            <w:noProof/>
            <w:webHidden/>
          </w:rPr>
          <w:instrText xml:space="preserve"> PAGEREF _Toc503945059 \h </w:instrText>
        </w:r>
        <w:r w:rsidR="00497229">
          <w:rPr>
            <w:rStyle w:val="Hyperlnk"/>
            <w:noProof/>
          </w:rPr>
        </w:r>
        <w:r w:rsidR="00497229">
          <w:rPr>
            <w:rStyle w:val="Hyperlnk"/>
            <w:noProof/>
          </w:rPr>
          <w:fldChar w:fldCharType="separate"/>
        </w:r>
        <w:r w:rsidR="00B62182">
          <w:rPr>
            <w:noProof/>
            <w:webHidden/>
          </w:rPr>
          <w:t>2</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0" w:history="1">
        <w:r w:rsidR="00497229" w:rsidRPr="008B4FBF">
          <w:rPr>
            <w:rStyle w:val="Hyperlnk"/>
            <w:noProof/>
          </w:rPr>
          <w:t>Övergripande slutsatser</w:t>
        </w:r>
        <w:r w:rsidR="00497229">
          <w:rPr>
            <w:noProof/>
            <w:webHidden/>
          </w:rPr>
          <w:tab/>
        </w:r>
        <w:r w:rsidR="00497229">
          <w:rPr>
            <w:rStyle w:val="Hyperlnk"/>
            <w:noProof/>
          </w:rPr>
          <w:fldChar w:fldCharType="begin"/>
        </w:r>
        <w:r w:rsidR="00497229">
          <w:rPr>
            <w:noProof/>
            <w:webHidden/>
          </w:rPr>
          <w:instrText xml:space="preserve"> PAGEREF _Toc503945060 \h </w:instrText>
        </w:r>
        <w:r w:rsidR="00497229">
          <w:rPr>
            <w:rStyle w:val="Hyperlnk"/>
            <w:noProof/>
          </w:rPr>
        </w:r>
        <w:r w:rsidR="00497229">
          <w:rPr>
            <w:rStyle w:val="Hyperlnk"/>
            <w:noProof/>
          </w:rPr>
          <w:fldChar w:fldCharType="separate"/>
        </w:r>
        <w:r w:rsidR="00B62182">
          <w:rPr>
            <w:noProof/>
            <w:webHidden/>
          </w:rPr>
          <w:t>2</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1" w:history="1">
        <w:r w:rsidR="00497229" w:rsidRPr="008B4FBF">
          <w:rPr>
            <w:rStyle w:val="Hyperlnk"/>
            <w:noProof/>
          </w:rPr>
          <w:t>8.3.2 Aktörer som är specifikt undantagna från direktivets tillämpningsområde (sid. 57)</w:t>
        </w:r>
        <w:r w:rsidR="00497229">
          <w:rPr>
            <w:noProof/>
            <w:webHidden/>
          </w:rPr>
          <w:tab/>
        </w:r>
        <w:r w:rsidR="00497229">
          <w:rPr>
            <w:rStyle w:val="Hyperlnk"/>
            <w:noProof/>
          </w:rPr>
          <w:fldChar w:fldCharType="begin"/>
        </w:r>
        <w:r w:rsidR="00497229">
          <w:rPr>
            <w:noProof/>
            <w:webHidden/>
          </w:rPr>
          <w:instrText xml:space="preserve"> PAGEREF _Toc503945061 \h </w:instrText>
        </w:r>
        <w:r w:rsidR="00497229">
          <w:rPr>
            <w:rStyle w:val="Hyperlnk"/>
            <w:noProof/>
          </w:rPr>
        </w:r>
        <w:r w:rsidR="00497229">
          <w:rPr>
            <w:rStyle w:val="Hyperlnk"/>
            <w:noProof/>
          </w:rPr>
          <w:fldChar w:fldCharType="separate"/>
        </w:r>
        <w:r w:rsidR="00B62182">
          <w:rPr>
            <w:noProof/>
            <w:webHidden/>
          </w:rPr>
          <w:t>4</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2" w:history="1">
        <w:r w:rsidR="00497229" w:rsidRPr="008B4FBF">
          <w:rPr>
            <w:rStyle w:val="Hyperlnk"/>
            <w:noProof/>
          </w:rPr>
          <w:t>8.4.2 Statliga eller kommunala företag som inte är offentligt styrdaorgan (sid. 62 f)</w:t>
        </w:r>
        <w:r w:rsidR="00497229">
          <w:rPr>
            <w:noProof/>
            <w:webHidden/>
          </w:rPr>
          <w:tab/>
        </w:r>
        <w:r w:rsidR="00497229">
          <w:rPr>
            <w:rStyle w:val="Hyperlnk"/>
            <w:noProof/>
          </w:rPr>
          <w:fldChar w:fldCharType="begin"/>
        </w:r>
        <w:r w:rsidR="00497229">
          <w:rPr>
            <w:noProof/>
            <w:webHidden/>
          </w:rPr>
          <w:instrText xml:space="preserve"> PAGEREF _Toc503945062 \h </w:instrText>
        </w:r>
        <w:r w:rsidR="00497229">
          <w:rPr>
            <w:rStyle w:val="Hyperlnk"/>
            <w:noProof/>
          </w:rPr>
        </w:r>
        <w:r w:rsidR="00497229">
          <w:rPr>
            <w:rStyle w:val="Hyperlnk"/>
            <w:noProof/>
          </w:rPr>
          <w:fldChar w:fldCharType="separate"/>
        </w:r>
        <w:r w:rsidR="00B62182">
          <w:rPr>
            <w:noProof/>
            <w:webHidden/>
          </w:rPr>
          <w:t>4</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3" w:history="1">
        <w:r w:rsidR="00497229" w:rsidRPr="008B4FBF">
          <w:rPr>
            <w:rStyle w:val="Hyperlnk"/>
            <w:noProof/>
          </w:rPr>
          <w:t>8.6.6 Digital service som inte hänför sig till verksamhetens väsentliga administrativa funktioner (sid. 65 f)</w:t>
        </w:r>
        <w:r w:rsidR="00497229">
          <w:rPr>
            <w:noProof/>
            <w:webHidden/>
          </w:rPr>
          <w:tab/>
        </w:r>
        <w:r w:rsidR="00497229">
          <w:rPr>
            <w:rStyle w:val="Hyperlnk"/>
            <w:noProof/>
          </w:rPr>
          <w:fldChar w:fldCharType="begin"/>
        </w:r>
        <w:r w:rsidR="00497229">
          <w:rPr>
            <w:noProof/>
            <w:webHidden/>
          </w:rPr>
          <w:instrText xml:space="preserve"> PAGEREF _Toc503945063 \h </w:instrText>
        </w:r>
        <w:r w:rsidR="00497229">
          <w:rPr>
            <w:rStyle w:val="Hyperlnk"/>
            <w:noProof/>
          </w:rPr>
        </w:r>
        <w:r w:rsidR="00497229">
          <w:rPr>
            <w:rStyle w:val="Hyperlnk"/>
            <w:noProof/>
          </w:rPr>
          <w:fldChar w:fldCharType="separate"/>
        </w:r>
        <w:r w:rsidR="00B62182">
          <w:rPr>
            <w:noProof/>
            <w:webHidden/>
          </w:rPr>
          <w:t>4</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4" w:history="1">
        <w:r w:rsidR="00497229" w:rsidRPr="008B4FBF">
          <w:rPr>
            <w:rStyle w:val="Hyperlnk"/>
            <w:noProof/>
          </w:rPr>
          <w:t>8.8 Förutsättningar för att helt eller delvis undanta</w:t>
        </w:r>
        <w:r w:rsidR="00497229">
          <w:rPr>
            <w:noProof/>
            <w:webHidden/>
          </w:rPr>
          <w:tab/>
        </w:r>
        <w:r w:rsidR="00497229">
          <w:rPr>
            <w:rStyle w:val="Hyperlnk"/>
            <w:noProof/>
          </w:rPr>
          <w:fldChar w:fldCharType="begin"/>
        </w:r>
        <w:r w:rsidR="00497229">
          <w:rPr>
            <w:noProof/>
            <w:webHidden/>
          </w:rPr>
          <w:instrText xml:space="preserve"> PAGEREF _Toc503945064 \h </w:instrText>
        </w:r>
        <w:r w:rsidR="00497229">
          <w:rPr>
            <w:rStyle w:val="Hyperlnk"/>
            <w:noProof/>
          </w:rPr>
        </w:r>
        <w:r w:rsidR="00497229">
          <w:rPr>
            <w:rStyle w:val="Hyperlnk"/>
            <w:noProof/>
          </w:rPr>
          <w:fldChar w:fldCharType="separate"/>
        </w:r>
        <w:r w:rsidR="00B62182">
          <w:rPr>
            <w:noProof/>
            <w:webHidden/>
          </w:rPr>
          <w:t>5</w:t>
        </w:r>
        <w:r w:rsidR="00497229">
          <w:rPr>
            <w:rStyle w:val="Hyperlnk"/>
            <w:noProof/>
          </w:rPr>
          <w:fldChar w:fldCharType="end"/>
        </w:r>
      </w:hyperlink>
    </w:p>
    <w:p w:rsidR="00497229" w:rsidRDefault="00677B88">
      <w:pPr>
        <w:pStyle w:val="Innehll2"/>
        <w:tabs>
          <w:tab w:val="right" w:leader="dot" w:pos="9062"/>
        </w:tabs>
        <w:rPr>
          <w:rFonts w:asciiTheme="minorHAnsi" w:eastAsiaTheme="minorEastAsia" w:hAnsiTheme="minorHAnsi" w:cstheme="minorBidi"/>
          <w:bCs w:val="0"/>
          <w:noProof/>
          <w:sz w:val="22"/>
          <w:szCs w:val="22"/>
          <w:lang w:eastAsia="sv-SE"/>
        </w:rPr>
      </w:pPr>
      <w:hyperlink w:anchor="_Toc503945065" w:history="1">
        <w:r w:rsidR="00497229" w:rsidRPr="008B4FBF">
          <w:rPr>
            <w:rStyle w:val="Hyperlnk"/>
            <w:noProof/>
          </w:rPr>
          <w:t>8.10.3 Uppföljning (sid. 111 ff)</w:t>
        </w:r>
        <w:r w:rsidR="00497229">
          <w:rPr>
            <w:noProof/>
            <w:webHidden/>
          </w:rPr>
          <w:tab/>
        </w:r>
        <w:r w:rsidR="00497229">
          <w:rPr>
            <w:rStyle w:val="Hyperlnk"/>
            <w:noProof/>
          </w:rPr>
          <w:fldChar w:fldCharType="begin"/>
        </w:r>
        <w:r w:rsidR="00497229">
          <w:rPr>
            <w:noProof/>
            <w:webHidden/>
          </w:rPr>
          <w:instrText xml:space="preserve"> PAGEREF _Toc503945065 \h </w:instrText>
        </w:r>
        <w:r w:rsidR="00497229">
          <w:rPr>
            <w:rStyle w:val="Hyperlnk"/>
            <w:noProof/>
          </w:rPr>
        </w:r>
        <w:r w:rsidR="00497229">
          <w:rPr>
            <w:rStyle w:val="Hyperlnk"/>
            <w:noProof/>
          </w:rPr>
          <w:fldChar w:fldCharType="separate"/>
        </w:r>
        <w:r w:rsidR="00B62182">
          <w:rPr>
            <w:noProof/>
            <w:webHidden/>
          </w:rPr>
          <w:t>6</w:t>
        </w:r>
        <w:r w:rsidR="00497229">
          <w:rPr>
            <w:rStyle w:val="Hyperlnk"/>
            <w:noProof/>
          </w:rPr>
          <w:fldChar w:fldCharType="end"/>
        </w:r>
      </w:hyperlink>
    </w:p>
    <w:p w:rsidR="00246A14" w:rsidRDefault="00246A14">
      <w:r>
        <w:fldChar w:fldCharType="end"/>
      </w:r>
    </w:p>
    <w:p w:rsidR="00246A14" w:rsidRDefault="00246A14">
      <w:pPr>
        <w:rPr>
          <w:rFonts w:eastAsia="Times New Roman" w:cstheme="minorBidi"/>
          <w:b/>
          <w:sz w:val="36"/>
          <w:szCs w:val="28"/>
        </w:rPr>
      </w:pPr>
      <w:r>
        <w:br w:type="page"/>
      </w:r>
    </w:p>
    <w:p w:rsidR="00827668" w:rsidRDefault="00827668" w:rsidP="001B49BB">
      <w:pPr>
        <w:pStyle w:val="Rubrik1"/>
      </w:pPr>
      <w:bookmarkStart w:id="0" w:name="_Toc503945058"/>
      <w:r>
        <w:lastRenderedPageBreak/>
        <w:t>Inledning</w:t>
      </w:r>
      <w:r w:rsidR="00025417">
        <w:t xml:space="preserve"> med övergripande slutsatser</w:t>
      </w:r>
      <w:bookmarkEnd w:id="0"/>
    </w:p>
    <w:p w:rsidR="00AF611B" w:rsidRDefault="00AF611B" w:rsidP="00AF611B">
      <w:pPr>
        <w:rPr>
          <w:szCs w:val="28"/>
        </w:rPr>
      </w:pPr>
      <w:r>
        <w:rPr>
          <w:szCs w:val="28"/>
        </w:rPr>
        <w:t xml:space="preserve">Synskadades Riksförbund, SRF, företräder personer med synskador i Sverige. </w:t>
      </w:r>
    </w:p>
    <w:p w:rsidR="00AF611B" w:rsidRDefault="00AF611B"/>
    <w:p w:rsidR="00497229" w:rsidRDefault="00497229" w:rsidP="00162686">
      <w:pPr>
        <w:pStyle w:val="Rubrik2"/>
      </w:pPr>
      <w:bookmarkStart w:id="1" w:name="_Toc503945059"/>
      <w:r>
        <w:t>Viktiga utgångspunkter</w:t>
      </w:r>
      <w:bookmarkEnd w:id="1"/>
    </w:p>
    <w:p w:rsidR="00AF3CFC" w:rsidRDefault="00497229">
      <w:r>
        <w:t xml:space="preserve">Viktiga utgångspunkter för ett tillgängligt samhälle </w:t>
      </w:r>
      <w:r w:rsidR="00AF3CFC">
        <w:t xml:space="preserve">är </w:t>
      </w:r>
      <w:r w:rsidR="00ED7BF6">
        <w:t>FN:</w:t>
      </w:r>
      <w:r w:rsidR="008107ED">
        <w:t>s konvention om rättigheter för personer me</w:t>
      </w:r>
      <w:r w:rsidR="00162686">
        <w:t xml:space="preserve">d funktionsnedsättning </w:t>
      </w:r>
      <w:r w:rsidR="00531CCA">
        <w:t xml:space="preserve">(CRPD) </w:t>
      </w:r>
      <w:r w:rsidR="00162686">
        <w:t>och A</w:t>
      </w:r>
      <w:r w:rsidR="00AF3CFC">
        <w:t>genda</w:t>
      </w:r>
      <w:r w:rsidR="008107ED">
        <w:t xml:space="preserve"> 203</w:t>
      </w:r>
      <w:r w:rsidR="00AF3CFC">
        <w:t xml:space="preserve">0 som Sverige har undertecknat </w:t>
      </w:r>
      <w:r w:rsidR="008107ED">
        <w:t>o</w:t>
      </w:r>
      <w:r w:rsidR="00AF3CFC">
        <w:t>c</w:t>
      </w:r>
      <w:r w:rsidR="008107ED">
        <w:t xml:space="preserve">h </w:t>
      </w:r>
      <w:r w:rsidR="00AF3CFC">
        <w:t>ratific</w:t>
      </w:r>
      <w:r w:rsidR="008107ED">
        <w:t>erat</w:t>
      </w:r>
      <w:r w:rsidR="00AF3CFC">
        <w:t>.</w:t>
      </w:r>
    </w:p>
    <w:p w:rsidR="00AF3CFC" w:rsidRDefault="00AF3CFC"/>
    <w:p w:rsidR="008107ED" w:rsidRDefault="00AF3CFC">
      <w:r>
        <w:t>I konventionen</w:t>
      </w:r>
      <w:r w:rsidR="008107ED">
        <w:t xml:space="preserve"> nämns vikten av tillgänglig information och rätten att få kommunicera på lika villkor på flera ställen. </w:t>
      </w:r>
    </w:p>
    <w:p w:rsidR="003F3350" w:rsidRDefault="003F3350"/>
    <w:p w:rsidR="003F3350" w:rsidRDefault="00AF3CFC" w:rsidP="00B62182">
      <w:r>
        <w:t xml:space="preserve">I </w:t>
      </w:r>
      <w:r w:rsidR="003F3350">
        <w:t>artikel</w:t>
      </w:r>
      <w:r>
        <w:t xml:space="preserve"> 9:1 </w:t>
      </w:r>
      <w:r w:rsidR="002D0230">
        <w:t>sägs</w:t>
      </w:r>
      <w:r>
        <w:t xml:space="preserve"> att konventionsstate</w:t>
      </w:r>
      <w:r w:rsidR="003F3350">
        <w:t>r</w:t>
      </w:r>
      <w:r>
        <w:t>na ska vidta ändamål</w:t>
      </w:r>
      <w:r w:rsidR="003F3350">
        <w:t xml:space="preserve">senliga åtgärder för att tillgängliggöra information </w:t>
      </w:r>
      <w:r w:rsidR="00720DB4">
        <w:t>s</w:t>
      </w:r>
      <w:r w:rsidR="00B920CD">
        <w:t>å att personer med funktionsned</w:t>
      </w:r>
      <w:r w:rsidR="00720DB4">
        <w:t>s</w:t>
      </w:r>
      <w:r w:rsidR="00B920CD">
        <w:t>ä</w:t>
      </w:r>
      <w:r w:rsidR="00720DB4">
        <w:t>ttning kan kommunicera på lika villkor med andra.</w:t>
      </w:r>
    </w:p>
    <w:p w:rsidR="00720DB4" w:rsidRDefault="00720DB4"/>
    <w:p w:rsidR="00C85258" w:rsidRDefault="00C85258">
      <w:r>
        <w:t>Artikel 21 handlar om åsiktsfrihet och information.</w:t>
      </w:r>
    </w:p>
    <w:p w:rsidR="00C85258" w:rsidRDefault="00C85258">
      <w:r>
        <w:t>Enligt artikel 21 a ska konventionsstaterna:</w:t>
      </w:r>
    </w:p>
    <w:p w:rsidR="006652D7" w:rsidRDefault="006652D7"/>
    <w:p w:rsidR="006652D7" w:rsidRDefault="00ED7BF6" w:rsidP="006652D7">
      <w:r>
        <w:t>"</w:t>
      </w:r>
      <w:r w:rsidR="006652D7">
        <w:t xml:space="preserve">a) utan dröjsmål och extra kostnader förse personer med funktionsnedsättning med information som är avsedd för allmänheten i tillgängligt format och teknologi anpassad för olika funktionsnedsättningar, </w:t>
      </w:r>
    </w:p>
    <w:p w:rsidR="006652D7" w:rsidRDefault="00ED7BF6" w:rsidP="006652D7">
      <w:r>
        <w:t>(…</w:t>
      </w:r>
      <w:r w:rsidR="006652D7">
        <w:t>)</w:t>
      </w:r>
    </w:p>
    <w:p w:rsidR="006652D7" w:rsidRDefault="006652D7" w:rsidP="006652D7"/>
    <w:p w:rsidR="006652D7" w:rsidRDefault="006652D7" w:rsidP="006652D7">
      <w:r>
        <w:t xml:space="preserve">c) uppmana enskilda leverantörer av tjänster till allmänheten, däribland genom Internet, att erbjuda information och service i tillgängliga och användbara format för personer med funktionsnedsättning, </w:t>
      </w:r>
    </w:p>
    <w:p w:rsidR="006652D7" w:rsidRDefault="006652D7" w:rsidP="006652D7">
      <w:r>
        <w:t xml:space="preserve"> </w:t>
      </w:r>
    </w:p>
    <w:p w:rsidR="006652D7" w:rsidRDefault="006652D7" w:rsidP="006652D7">
      <w:r>
        <w:t>d) uppmuntra massmedierna, däribland leverantörer av information genom Internet, att göra sina tjänster tillgängliga för personer med funktionsnedsättning</w:t>
      </w:r>
      <w:r w:rsidR="00B920CD">
        <w:t>"</w:t>
      </w:r>
    </w:p>
    <w:p w:rsidR="006652D7" w:rsidRDefault="006652D7" w:rsidP="006652D7"/>
    <w:p w:rsidR="00531CCA" w:rsidRDefault="00531CCA" w:rsidP="006652D7">
      <w:r>
        <w:t>I Agenda 2030 nämns vikten av att säkerställa tillgång till allmän informatio</w:t>
      </w:r>
      <w:r w:rsidR="00ED7BF6">
        <w:t xml:space="preserve">n </w:t>
      </w:r>
      <w:r>
        <w:t>och att skydd</w:t>
      </w:r>
      <w:r w:rsidR="00ED7BF6">
        <w:t>a grundläggande fri- och rättig</w:t>
      </w:r>
      <w:r>
        <w:t>h</w:t>
      </w:r>
      <w:r w:rsidR="00ED7BF6">
        <w:t>e</w:t>
      </w:r>
      <w:r>
        <w:t>ter, i enlighet med nationell lagstiftning och internationella avtal (mål 16:10). I mål 16.b nämns att staterna ska verka för och genomdriva icke-diskriminerande lagstiftning.</w:t>
      </w:r>
    </w:p>
    <w:p w:rsidR="002E5F56" w:rsidRDefault="002E5F56" w:rsidP="006652D7"/>
    <w:p w:rsidR="006652D7" w:rsidRDefault="006652D7" w:rsidP="006652D7">
      <w:pPr>
        <w:pStyle w:val="Rubrik2"/>
      </w:pPr>
      <w:bookmarkStart w:id="2" w:name="_Toc503945060"/>
      <w:r>
        <w:t>Övergripande slutsatser</w:t>
      </w:r>
      <w:bookmarkEnd w:id="2"/>
    </w:p>
    <w:p w:rsidR="006564E8" w:rsidRDefault="00AF611B">
      <w:r>
        <w:t xml:space="preserve">Vi </w:t>
      </w:r>
      <w:r w:rsidR="002F7ED7">
        <w:t xml:space="preserve">välkomnar </w:t>
      </w:r>
      <w:r w:rsidR="00827668">
        <w:t>att</w:t>
      </w:r>
      <w:r w:rsidR="001701B1">
        <w:t xml:space="preserve"> </w:t>
      </w:r>
      <w:r w:rsidR="00827668">
        <w:t xml:space="preserve">införandet av webbtillgänglighetsdirektivet </w:t>
      </w:r>
      <w:r w:rsidR="001701B1">
        <w:t>i sve</w:t>
      </w:r>
      <w:r w:rsidR="00CD3290">
        <w:t>n</w:t>
      </w:r>
      <w:r w:rsidR="001701B1">
        <w:t xml:space="preserve">sk rätt </w:t>
      </w:r>
      <w:r w:rsidR="00827668">
        <w:t>föreslås gå utöver minimiharmoniseringskraven inom vård</w:t>
      </w:r>
      <w:r w:rsidR="00465018">
        <w:t>-</w:t>
      </w:r>
      <w:r w:rsidR="00827668">
        <w:t>, omsorg</w:t>
      </w:r>
      <w:r w:rsidR="00AA6E00">
        <w:t>s</w:t>
      </w:r>
      <w:r w:rsidR="00465018">
        <w:t>-</w:t>
      </w:r>
      <w:r w:rsidR="00827668">
        <w:t xml:space="preserve"> </w:t>
      </w:r>
      <w:r w:rsidR="00827668">
        <w:lastRenderedPageBreak/>
        <w:t>och utbildningsom</w:t>
      </w:r>
      <w:r w:rsidR="00CD3290">
        <w:t>rådet. Det är av yttersta vikt a</w:t>
      </w:r>
      <w:r w:rsidR="00827668">
        <w:t xml:space="preserve">tt privata aktörer som </w:t>
      </w:r>
      <w:r w:rsidR="00465018">
        <w:t>genomför uppdrag åt det offentl</w:t>
      </w:r>
      <w:r w:rsidR="00827668">
        <w:t>i</w:t>
      </w:r>
      <w:r w:rsidR="00465018">
        <w:t>g</w:t>
      </w:r>
      <w:r w:rsidR="00827668">
        <w:t>a jämställs</w:t>
      </w:r>
      <w:r>
        <w:t xml:space="preserve"> med offentliga aktörer</w:t>
      </w:r>
      <w:r w:rsidR="00827668">
        <w:t>.</w:t>
      </w:r>
    </w:p>
    <w:p w:rsidR="00827668" w:rsidRDefault="00827668"/>
    <w:p w:rsidR="00025417" w:rsidRDefault="00827668">
      <w:r>
        <w:t>Vi ser det också som positivt att de nya bestämmelserna inför</w:t>
      </w:r>
      <w:r w:rsidR="00CD3290">
        <w:t>s i en särskild lag och därmed blir samlad</w:t>
      </w:r>
      <w:r w:rsidR="001B49BB">
        <w:t>e</w:t>
      </w:r>
      <w:r w:rsidR="00821195">
        <w:t>. Vi välkomnar även</w:t>
      </w:r>
      <w:r w:rsidR="00025417">
        <w:t xml:space="preserve"> utgångspunkten om att bestämmelserna ska vara teknikneutrala.</w:t>
      </w:r>
    </w:p>
    <w:p w:rsidR="00827668" w:rsidRDefault="00827668"/>
    <w:p w:rsidR="00CA3BF9" w:rsidRDefault="00827668">
      <w:r>
        <w:t xml:space="preserve">Det är ytterst beklagligt att </w:t>
      </w:r>
      <w:r w:rsidR="00CD3290">
        <w:t>direktivets möjlighet</w:t>
      </w:r>
      <w:r w:rsidR="004F2401">
        <w:t xml:space="preserve"> </w:t>
      </w:r>
      <w:r w:rsidR="00CD3290">
        <w:t xml:space="preserve">till </w:t>
      </w:r>
      <w:r>
        <w:t>undantag avseende skolors och förskolors sky</w:t>
      </w:r>
      <w:r w:rsidR="00CD3290">
        <w:t>ldighet att tillgängliggöra si</w:t>
      </w:r>
      <w:r>
        <w:t>n</w:t>
      </w:r>
      <w:r w:rsidR="00CD3290">
        <w:t xml:space="preserve"> digitala service som inte </w:t>
      </w:r>
      <w:r w:rsidR="00025417">
        <w:t xml:space="preserve">hänför sig till "verksamhetens </w:t>
      </w:r>
      <w:r w:rsidR="00CD3290">
        <w:t>väsentlig</w:t>
      </w:r>
      <w:r w:rsidR="00AF611B">
        <w:t>a administr</w:t>
      </w:r>
      <w:r w:rsidR="00A3757A">
        <w:t>ativa funk</w:t>
      </w:r>
      <w:r w:rsidR="00AF611B">
        <w:t>t</w:t>
      </w:r>
      <w:r w:rsidR="00A3757A">
        <w:t>i</w:t>
      </w:r>
      <w:r w:rsidR="00AF611B">
        <w:t>oner</w:t>
      </w:r>
      <w:r w:rsidR="00025417">
        <w:t>"</w:t>
      </w:r>
      <w:r w:rsidR="00CD3290">
        <w:t xml:space="preserve"> föresl</w:t>
      </w:r>
      <w:r>
        <w:t>å</w:t>
      </w:r>
      <w:r w:rsidR="00CD3290">
        <w:t>s införas</w:t>
      </w:r>
      <w:r w:rsidR="004355C2">
        <w:t xml:space="preserve"> i svensk rätt</w:t>
      </w:r>
      <w:r w:rsidR="00CD3290">
        <w:t>. Att kunna anvä</w:t>
      </w:r>
      <w:r>
        <w:t>n</w:t>
      </w:r>
      <w:r w:rsidR="00CD3290">
        <w:t>d</w:t>
      </w:r>
      <w:r>
        <w:t>a exe</w:t>
      </w:r>
      <w:r w:rsidR="00CD3290">
        <w:t>mpelvis en l</w:t>
      </w:r>
      <w:r>
        <w:t>ä</w:t>
      </w:r>
      <w:r w:rsidR="00CD3290">
        <w:t>r</w:t>
      </w:r>
      <w:r>
        <w:t>plat</w:t>
      </w:r>
      <w:r w:rsidR="00CD3290">
        <w:t>t</w:t>
      </w:r>
      <w:r>
        <w:t>f</w:t>
      </w:r>
      <w:r w:rsidR="00CD3290">
        <w:t>orm och självs</w:t>
      </w:r>
      <w:r>
        <w:t>t</w:t>
      </w:r>
      <w:r w:rsidR="00CD3290">
        <w:t>ändigt kunna söka informatio</w:t>
      </w:r>
      <w:r>
        <w:t>n och interagera med andra elever är synnerligen viktigt för att kunna uppnå skolans och förskolans mål.</w:t>
      </w:r>
      <w:r w:rsidR="00CA3BF9">
        <w:t xml:space="preserve"> Även </w:t>
      </w:r>
      <w:r w:rsidR="00992952">
        <w:t>synskadade</w:t>
      </w:r>
      <w:r w:rsidR="00CA3BF9">
        <w:t xml:space="preserve"> </w:t>
      </w:r>
      <w:r w:rsidR="00992952">
        <w:t>föräldrar</w:t>
      </w:r>
      <w:r w:rsidR="0079491A">
        <w:t xml:space="preserve"> m</w:t>
      </w:r>
      <w:r w:rsidR="00CA3BF9">
        <w:t>å</w:t>
      </w:r>
      <w:r w:rsidR="0079491A">
        <w:t>s</w:t>
      </w:r>
      <w:r w:rsidR="00CA3BF9">
        <w:t>te fullt ut kunna ta del av skolans eller förskolans digitala service.</w:t>
      </w:r>
    </w:p>
    <w:p w:rsidR="00827668" w:rsidRDefault="00827668"/>
    <w:p w:rsidR="00827668" w:rsidRDefault="00827668">
      <w:r>
        <w:t>Vi ställer oss också</w:t>
      </w:r>
      <w:r w:rsidR="0056656A">
        <w:t xml:space="preserve"> frågande </w:t>
      </w:r>
      <w:r w:rsidR="001B49BB">
        <w:t xml:space="preserve">till </w:t>
      </w:r>
      <w:r w:rsidR="00025417">
        <w:t>att en aktör ska kunna undantas helt eller delvis från att tillgängliggöra sina tjänster om anpassningen anses vara oskälig</w:t>
      </w:r>
      <w:r w:rsidR="00CA3BF9">
        <w:t>, särskilt med hänvisning till ekononomiska förutsättningar samt relaterat till hur mycket en tjänst utnyttjas</w:t>
      </w:r>
      <w:r w:rsidR="00CD3290">
        <w:t>. V</w:t>
      </w:r>
      <w:r w:rsidR="004F2401">
        <w:t xml:space="preserve">i </w:t>
      </w:r>
      <w:r w:rsidR="006D6A55">
        <w:t>befarar</w:t>
      </w:r>
      <w:r>
        <w:t xml:space="preserve"> </w:t>
      </w:r>
      <w:r w:rsidR="00CD3290">
        <w:t xml:space="preserve">att </w:t>
      </w:r>
      <w:r w:rsidR="0056656A">
        <w:t xml:space="preserve">en skälighetsbedömning kan </w:t>
      </w:r>
      <w:r w:rsidR="00CD3290">
        <w:t>göra den nya lagstiftningen ve</w:t>
      </w:r>
      <w:r>
        <w:t>r</w:t>
      </w:r>
      <w:r w:rsidR="00CD3290">
        <w:t>k</w:t>
      </w:r>
      <w:r w:rsidR="001B60E1">
        <w:t>ningslös inom flera viktig</w:t>
      </w:r>
      <w:r>
        <w:t>a områden.</w:t>
      </w:r>
      <w:r w:rsidR="00CD3290">
        <w:t xml:space="preserve"> Det gäller inte minst intranät som har stor betydelse för synskadades möjligheter till att få </w:t>
      </w:r>
      <w:r w:rsidR="00E531BD">
        <w:t xml:space="preserve">ett </w:t>
      </w:r>
      <w:r w:rsidR="00CD3290">
        <w:t>arbete.</w:t>
      </w:r>
    </w:p>
    <w:p w:rsidR="00142CF1" w:rsidRDefault="00142CF1"/>
    <w:p w:rsidR="00142CF1" w:rsidRDefault="00142CF1">
      <w:r>
        <w:t>Vi a</w:t>
      </w:r>
      <w:r w:rsidR="001B60E1">
        <w:t>nser även a</w:t>
      </w:r>
      <w:r>
        <w:t xml:space="preserve">tt alla företag som </w:t>
      </w:r>
      <w:r w:rsidR="001B60E1">
        <w:t>helt el</w:t>
      </w:r>
      <w:r>
        <w:t>l</w:t>
      </w:r>
      <w:r w:rsidR="001B60E1">
        <w:t>er delvis ägs av det offentl</w:t>
      </w:r>
      <w:r>
        <w:t>i</w:t>
      </w:r>
      <w:r w:rsidR="001B60E1">
        <w:t xml:space="preserve">ga ska omfattas av den nya </w:t>
      </w:r>
      <w:r>
        <w:t>l</w:t>
      </w:r>
      <w:r w:rsidR="001B60E1">
        <w:t>a</w:t>
      </w:r>
      <w:r>
        <w:t>gen.</w:t>
      </w:r>
    </w:p>
    <w:p w:rsidR="00142CF1" w:rsidRDefault="00142CF1"/>
    <w:p w:rsidR="00C809F3" w:rsidRDefault="00C809F3">
      <w:r>
        <w:t>Vi välkomnar att vite ska kunna utdömas om lagstiftningens krav inte uppfylls. Samtidigt vill vi betona att vites</w:t>
      </w:r>
      <w:r w:rsidR="0056656A">
        <w:t>beloppen ska vara så pass höga a</w:t>
      </w:r>
      <w:r>
        <w:t xml:space="preserve">tt en verksamhet inte tjänar på att betala det utdömda beloppet och </w:t>
      </w:r>
      <w:r w:rsidR="006D6A55">
        <w:t xml:space="preserve">därför </w:t>
      </w:r>
      <w:r>
        <w:t>inte vidta någon åtgärd.</w:t>
      </w:r>
      <w:r w:rsidR="0079491A">
        <w:t xml:space="preserve"> Det är också vikti</w:t>
      </w:r>
      <w:r w:rsidR="00992952">
        <w:t>g</w:t>
      </w:r>
      <w:r w:rsidR="0079491A">
        <w:t>t att även statliga myndigheter kan utdömas vite.</w:t>
      </w:r>
    </w:p>
    <w:p w:rsidR="00C809F3" w:rsidRDefault="00C809F3"/>
    <w:p w:rsidR="00C809F3" w:rsidRDefault="00ED7BF6">
      <w:r>
        <w:t xml:space="preserve">Vår </w:t>
      </w:r>
      <w:r w:rsidR="00C809F3">
        <w:t>allmän</w:t>
      </w:r>
      <w:r>
        <w:t>na</w:t>
      </w:r>
      <w:r w:rsidR="00C809F3">
        <w:t xml:space="preserve"> utgångspunkt är att så många områden som möjligt ska omfattas av lagstiftningen ef</w:t>
      </w:r>
      <w:r w:rsidR="0056656A">
        <w:t>tersom den sätter nivån på till</w:t>
      </w:r>
      <w:r w:rsidR="00C809F3">
        <w:t>gänglighet även i andra sammanhang. Det är också viktigt med en samlad och sektorsövergripande lagstiftning om tillgänglighet till digital service.</w:t>
      </w:r>
      <w:r w:rsidR="00CA3BF9">
        <w:t xml:space="preserve"> Bland annat därför anser vi att public servicebolagen inte ska undantas från kraven.</w:t>
      </w:r>
    </w:p>
    <w:p w:rsidR="0056656A" w:rsidRDefault="0056656A"/>
    <w:p w:rsidR="00827668" w:rsidRDefault="008F48F1">
      <w:r>
        <w:t>Nedan följer våra synpunkter avseende de avsnitt i promemorian där vi har invändningar mot förslagen.</w:t>
      </w:r>
    </w:p>
    <w:p w:rsidR="00246A14" w:rsidRDefault="00246A14"/>
    <w:p w:rsidR="00246A14" w:rsidRDefault="00246A14" w:rsidP="00102760">
      <w:pPr>
        <w:pStyle w:val="Rubrik2"/>
      </w:pPr>
      <w:bookmarkStart w:id="3" w:name="_Toc503945061"/>
      <w:r>
        <w:lastRenderedPageBreak/>
        <w:t>8.3.2 Aktörer som är specifikt undantagna från direktivets tillämpningsområde</w:t>
      </w:r>
      <w:r w:rsidR="00102760">
        <w:t xml:space="preserve"> (sid. 57)</w:t>
      </w:r>
      <w:bookmarkEnd w:id="3"/>
    </w:p>
    <w:p w:rsidR="00B62182" w:rsidRDefault="00246A14" w:rsidP="00B62182">
      <w:r>
        <w:t>Utifrån den övergripande utgångspunkten om att så många aktörer so</w:t>
      </w:r>
      <w:r w:rsidR="002F3B69">
        <w:t>m</w:t>
      </w:r>
      <w:r>
        <w:t xml:space="preserve"> möjligt bör omfattas av den nya lagstiftningen i syfte att eftersträva en samlad lagstiftning med lika krav anser vi att även public servicebolagen ska omfattas av lagstiftni</w:t>
      </w:r>
      <w:r w:rsidR="002F3B69">
        <w:t>n</w:t>
      </w:r>
      <w:r>
        <w:t xml:space="preserve">gen. I den mån annan lagstiftning ställer högre krav ska den lagstiftningen gälla. </w:t>
      </w:r>
      <w:bookmarkStart w:id="4" w:name="_Toc503945062"/>
    </w:p>
    <w:p w:rsidR="00B62182" w:rsidRDefault="00B62182" w:rsidP="00B62182"/>
    <w:p w:rsidR="008F48F1" w:rsidRDefault="00B04AB7" w:rsidP="00B62182">
      <w:r w:rsidRPr="00B04AB7">
        <w:rPr>
          <w:rStyle w:val="Rubrik2Char"/>
        </w:rPr>
        <w:t>8.4.2 Statliga eller kommunala företag som inte är offentligt styrda</w:t>
      </w:r>
      <w:r w:rsidR="00674DA6">
        <w:rPr>
          <w:rStyle w:val="Rubrik2Char"/>
        </w:rPr>
        <w:t xml:space="preserve"> </w:t>
      </w:r>
      <w:r w:rsidRPr="00B04AB7">
        <w:rPr>
          <w:rStyle w:val="Rubrik2Char"/>
        </w:rPr>
        <w:t xml:space="preserve">organ </w:t>
      </w:r>
      <w:r w:rsidR="00102760">
        <w:t>(sid.</w:t>
      </w:r>
      <w:r>
        <w:t xml:space="preserve"> 62 f)</w:t>
      </w:r>
      <w:bookmarkEnd w:id="4"/>
    </w:p>
    <w:p w:rsidR="00827668" w:rsidRDefault="001701B1">
      <w:r>
        <w:t>I p</w:t>
      </w:r>
      <w:r w:rsidR="00B04AB7">
        <w:t>ro</w:t>
      </w:r>
      <w:r>
        <w:t>m</w:t>
      </w:r>
      <w:r w:rsidR="00B04AB7">
        <w:t>em</w:t>
      </w:r>
      <w:r w:rsidR="00263516">
        <w:t>orian föresl</w:t>
      </w:r>
      <w:r>
        <w:t>å</w:t>
      </w:r>
      <w:r w:rsidR="00263516">
        <w:t>s</w:t>
      </w:r>
      <w:r>
        <w:t xml:space="preserve"> att statliga och kommuna</w:t>
      </w:r>
      <w:r w:rsidR="00263516">
        <w:t>la företag som inte är offentl</w:t>
      </w:r>
      <w:r>
        <w:t>i</w:t>
      </w:r>
      <w:r w:rsidR="00263516">
        <w:t xml:space="preserve">gt styrda </w:t>
      </w:r>
      <w:r w:rsidR="00CA3BF9">
        <w:t xml:space="preserve">organ </w:t>
      </w:r>
      <w:r w:rsidR="00263516">
        <w:t>ska u</w:t>
      </w:r>
      <w:r>
        <w:t>n</w:t>
      </w:r>
      <w:r w:rsidR="00263516">
        <w:t>d</w:t>
      </w:r>
      <w:r>
        <w:t>antas från att omfattas av den nya lagstiftningen. Bla</w:t>
      </w:r>
      <w:r w:rsidR="00321655">
        <w:t xml:space="preserve">nd annat hänvisas till arbetet </w:t>
      </w:r>
      <w:r>
        <w:t>m</w:t>
      </w:r>
      <w:r w:rsidR="00321655">
        <w:t>ed d</w:t>
      </w:r>
      <w:r>
        <w:t>e</w:t>
      </w:r>
      <w:r w:rsidR="00321655">
        <w:t>t så kallade tillgänglighetsdir</w:t>
      </w:r>
      <w:r>
        <w:t>e</w:t>
      </w:r>
      <w:r w:rsidR="00321655">
        <w:t>k</w:t>
      </w:r>
      <w:r>
        <w:t>tivet.</w:t>
      </w:r>
    </w:p>
    <w:p w:rsidR="001701B1" w:rsidRDefault="001701B1"/>
    <w:p w:rsidR="001701B1" w:rsidRDefault="001701B1">
      <w:r>
        <w:t>SRF anser att all ve</w:t>
      </w:r>
      <w:r w:rsidR="00321655">
        <w:t>rksamhet som ägs av det offentl</w:t>
      </w:r>
      <w:r>
        <w:t>i</w:t>
      </w:r>
      <w:r w:rsidR="00321655">
        <w:t>g</w:t>
      </w:r>
      <w:r>
        <w:t>a ska kunna</w:t>
      </w:r>
      <w:r w:rsidR="00321655">
        <w:t xml:space="preserve"> </w:t>
      </w:r>
      <w:r>
        <w:t>nås av alla</w:t>
      </w:r>
      <w:r w:rsidR="004F2401">
        <w:t xml:space="preserve"> och att allt som på något sätt finansieras genom skattemedel ska vara tillgängligt</w:t>
      </w:r>
      <w:r w:rsidR="004F2E4C">
        <w:t xml:space="preserve">. Det finns också </w:t>
      </w:r>
      <w:r>
        <w:t>oklarheter kring om, när</w:t>
      </w:r>
      <w:r w:rsidR="004F2401">
        <w:t>,</w:t>
      </w:r>
      <w:r>
        <w:t xml:space="preserve"> och i vilken utsträckning</w:t>
      </w:r>
      <w:r w:rsidR="004F2401">
        <w:t>,</w:t>
      </w:r>
      <w:r>
        <w:t xml:space="preserve"> tillgänglighetsdirektivet kommer att förverkligas.</w:t>
      </w:r>
      <w:r w:rsidR="004F2401">
        <w:t xml:space="preserve"> Förhandli</w:t>
      </w:r>
      <w:r w:rsidR="00321655">
        <w:t>n</w:t>
      </w:r>
      <w:r w:rsidR="004F2401">
        <w:t>g</w:t>
      </w:r>
      <w:r w:rsidR="00321655">
        <w:t xml:space="preserve">ar mellan </w:t>
      </w:r>
      <w:r w:rsidR="0051662E">
        <w:t>Europa</w:t>
      </w:r>
      <w:r w:rsidR="0015123A">
        <w:t>parlamentet, Kommissionen och R</w:t>
      </w:r>
      <w:r w:rsidR="00321655">
        <w:t xml:space="preserve">ådet </w:t>
      </w:r>
      <w:r w:rsidR="002F3B69">
        <w:t>är tänkta att inledas inom kort, men vi vet inget om utfallet.</w:t>
      </w:r>
    </w:p>
    <w:p w:rsidR="00321655" w:rsidRDefault="00321655"/>
    <w:p w:rsidR="001701B1" w:rsidRDefault="001701B1">
      <w:r>
        <w:t xml:space="preserve">Dessutom nämns i promemorian </w:t>
      </w:r>
      <w:r w:rsidR="00321655">
        <w:t>(sid. 56) att de</w:t>
      </w:r>
      <w:r>
        <w:t>t</w:t>
      </w:r>
      <w:r w:rsidR="00321655">
        <w:t xml:space="preserve"> </w:t>
      </w:r>
      <w:r>
        <w:t xml:space="preserve">kan finnas oklarheter kring vilka </w:t>
      </w:r>
      <w:r w:rsidR="0051662E">
        <w:t xml:space="preserve">offentligt ägda </w:t>
      </w:r>
      <w:r>
        <w:t>bolag som ska anses vara offentligt styrda.</w:t>
      </w:r>
    </w:p>
    <w:p w:rsidR="001701B1" w:rsidRDefault="001701B1"/>
    <w:p w:rsidR="001701B1" w:rsidRDefault="001701B1">
      <w:r>
        <w:t>Mot bakgrund av ova</w:t>
      </w:r>
      <w:r w:rsidR="00321655">
        <w:t>nstående anser SRF att inga off</w:t>
      </w:r>
      <w:r>
        <w:t>e</w:t>
      </w:r>
      <w:r w:rsidR="00321655">
        <w:t>n</w:t>
      </w:r>
      <w:r>
        <w:t>tligt ägda</w:t>
      </w:r>
      <w:r w:rsidR="0051662E">
        <w:t xml:space="preserve"> företag </w:t>
      </w:r>
      <w:r w:rsidR="00321655">
        <w:t>ska u</w:t>
      </w:r>
      <w:r>
        <w:t>n</w:t>
      </w:r>
      <w:r w:rsidR="00321655">
        <w:t>d</w:t>
      </w:r>
      <w:r>
        <w:t xml:space="preserve">antas </w:t>
      </w:r>
      <w:r w:rsidR="0051662E">
        <w:t>från den nya lagens tillämpningsområden</w:t>
      </w:r>
      <w:r>
        <w:t>.</w:t>
      </w:r>
    </w:p>
    <w:p w:rsidR="001701B1" w:rsidRDefault="001701B1"/>
    <w:p w:rsidR="001701B1" w:rsidRDefault="00062341" w:rsidP="001B60E1">
      <w:pPr>
        <w:pStyle w:val="Rubrik2"/>
      </w:pPr>
      <w:bookmarkStart w:id="5" w:name="_Toc503945063"/>
      <w:r>
        <w:t>8.6.6 Digital service som inte hänför sig till verksamhetens väsentliga administrativa funktioner (sid. 65 f)</w:t>
      </w:r>
      <w:bookmarkEnd w:id="5"/>
    </w:p>
    <w:p w:rsidR="00AE082C" w:rsidRDefault="004B7AA9" w:rsidP="00062341">
      <w:r>
        <w:t>SRF anser</w:t>
      </w:r>
      <w:r w:rsidR="0051662E">
        <w:t>,</w:t>
      </w:r>
      <w:r>
        <w:t xml:space="preserve"> å det bestämdaste</w:t>
      </w:r>
      <w:r w:rsidR="0051662E">
        <w:t>,</w:t>
      </w:r>
      <w:r>
        <w:t xml:space="preserve"> att det är av </w:t>
      </w:r>
      <w:r w:rsidR="00062341">
        <w:t xml:space="preserve">yttersta vikt att möjligheten </w:t>
      </w:r>
      <w:r w:rsidR="00AE082C">
        <w:t>att unda</w:t>
      </w:r>
      <w:r>
        <w:t>n</w:t>
      </w:r>
      <w:r w:rsidR="00C57362">
        <w:t xml:space="preserve">ta digital service </w:t>
      </w:r>
      <w:r w:rsidR="00AE082C">
        <w:t>som hänför sig till undervisning ino</w:t>
      </w:r>
      <w:r>
        <w:t>m</w:t>
      </w:r>
      <w:r w:rsidR="00AE082C">
        <w:t xml:space="preserve"> skolväsendet</w:t>
      </w:r>
      <w:r w:rsidR="00682965">
        <w:t>,</w:t>
      </w:r>
      <w:r w:rsidR="00AE082C">
        <w:t xml:space="preserve"> inte införs i den svenska lagstiftningen. </w:t>
      </w:r>
    </w:p>
    <w:p w:rsidR="00062341" w:rsidRDefault="00AE082C" w:rsidP="00062341">
      <w:r>
        <w:t>I promemorian anges följande skäl för att skolväsendet inte ska omfattas</w:t>
      </w:r>
      <w:r w:rsidR="004B7AA9">
        <w:t>,</w:t>
      </w:r>
      <w:r>
        <w:t xml:space="preserve"> så vida det inte rör sig</w:t>
      </w:r>
      <w:r w:rsidR="004B7AA9">
        <w:t xml:space="preserve"> </w:t>
      </w:r>
      <w:r>
        <w:t xml:space="preserve">om </w:t>
      </w:r>
      <w:r w:rsidR="00C57362">
        <w:t xml:space="preserve">"för verksamheten </w:t>
      </w:r>
      <w:r>
        <w:t>väsentliga administrativa funktioner</w:t>
      </w:r>
      <w:r w:rsidR="00C57362">
        <w:t>":</w:t>
      </w:r>
    </w:p>
    <w:p w:rsidR="00D0178A" w:rsidRDefault="00D0178A" w:rsidP="00062341"/>
    <w:p w:rsidR="001701B1" w:rsidRDefault="004B7AA9">
      <w:r>
        <w:t>"</w:t>
      </w:r>
      <w:r w:rsidR="00D0178A">
        <w:t>Kraven på tillgänglighet ska inte utgöra ett hinder för att använda digi</w:t>
      </w:r>
      <w:r w:rsidR="00C57362">
        <w:t xml:space="preserve">tal service som ett pedagogiskt </w:t>
      </w:r>
      <w:r w:rsidR="00D0178A">
        <w:t>verktyg eller för elevers möjlighet att publicera sådant de skapat. Det bedöms därför som angeläget att det aktuella undantaget införs i den svenska lagstiftningen.</w:t>
      </w:r>
      <w:r>
        <w:t>" (sid. 85)</w:t>
      </w:r>
    </w:p>
    <w:p w:rsidR="004B7AA9" w:rsidRDefault="004B7AA9"/>
    <w:p w:rsidR="009137A1" w:rsidRDefault="00D0178A">
      <w:r>
        <w:lastRenderedPageBreak/>
        <w:t xml:space="preserve">SRF menar att </w:t>
      </w:r>
      <w:r w:rsidR="004B7AA9">
        <w:t>just dessa skäl talar för att undantaget inte ska införas i svensk rätt. O</w:t>
      </w:r>
      <w:r>
        <w:t>tillgän</w:t>
      </w:r>
      <w:r w:rsidR="00821195">
        <w:t>glig</w:t>
      </w:r>
      <w:r w:rsidR="004B7AA9">
        <w:t xml:space="preserve"> </w:t>
      </w:r>
      <w:r w:rsidR="00821195">
        <w:t xml:space="preserve">digital service </w:t>
      </w:r>
      <w:r w:rsidR="004B7AA9">
        <w:t>kan leda till</w:t>
      </w:r>
      <w:r>
        <w:t xml:space="preserve"> att ett stort</w:t>
      </w:r>
      <w:r w:rsidR="004B7AA9">
        <w:t xml:space="preserve"> </w:t>
      </w:r>
      <w:r>
        <w:t xml:space="preserve">antal elever inte ges </w:t>
      </w:r>
      <w:r w:rsidR="004B7AA9">
        <w:t>möjlighet att självstä</w:t>
      </w:r>
      <w:r>
        <w:t>n</w:t>
      </w:r>
      <w:r w:rsidR="004B7AA9">
        <w:t>digt publicera och kommunice</w:t>
      </w:r>
      <w:r>
        <w:t xml:space="preserve">ra med andra </w:t>
      </w:r>
      <w:r w:rsidR="004B7AA9">
        <w:t>elever samt ta del av</w:t>
      </w:r>
      <w:r>
        <w:t xml:space="preserve"> material s</w:t>
      </w:r>
      <w:r w:rsidR="004B7AA9">
        <w:t xml:space="preserve">om lärare producerar. </w:t>
      </w:r>
      <w:r w:rsidR="009137A1">
        <w:t>Det gäller även föräldrar.</w:t>
      </w:r>
      <w:r w:rsidR="00682965">
        <w:t xml:space="preserve"> Sådana problem finns i dagens skola.</w:t>
      </w:r>
    </w:p>
    <w:p w:rsidR="009137A1" w:rsidRDefault="009137A1"/>
    <w:p w:rsidR="009137A1" w:rsidRDefault="004B7AA9">
      <w:r>
        <w:t>Detta ris</w:t>
      </w:r>
      <w:r w:rsidR="00D0178A">
        <w:t>k</w:t>
      </w:r>
      <w:r>
        <w:t>e</w:t>
      </w:r>
      <w:r w:rsidR="00D0178A">
        <w:t>rar att leda till ett utanförskap. Om tillgängli</w:t>
      </w:r>
      <w:r>
        <w:t>g</w:t>
      </w:r>
      <w:r w:rsidR="00D0178A">
        <w:t>h</w:t>
      </w:r>
      <w:r>
        <w:t>etskrav ställs och samtl</w:t>
      </w:r>
      <w:r w:rsidR="00D0178A">
        <w:t>i</w:t>
      </w:r>
      <w:r>
        <w:t>g</w:t>
      </w:r>
      <w:r w:rsidR="00D0178A">
        <w:t xml:space="preserve">a elever </w:t>
      </w:r>
      <w:r w:rsidR="009137A1">
        <w:t xml:space="preserve">och föräldrar </w:t>
      </w:r>
      <w:r w:rsidR="00D0178A">
        <w:t>informeras om detta kan det dessutom</w:t>
      </w:r>
      <w:r w:rsidR="00677B88">
        <w:t xml:space="preserve"> </w:t>
      </w:r>
      <w:r w:rsidR="00D0178A">
        <w:t>leda till at</w:t>
      </w:r>
      <w:r>
        <w:t xml:space="preserve">t elever </w:t>
      </w:r>
      <w:r w:rsidR="009137A1">
        <w:t xml:space="preserve">och föräldrar </w:t>
      </w:r>
      <w:r>
        <w:t>lär s</w:t>
      </w:r>
      <w:r w:rsidR="00D0178A">
        <w:t>i</w:t>
      </w:r>
      <w:r>
        <w:t>g att producera informa</w:t>
      </w:r>
      <w:r w:rsidR="00D0178A">
        <w:t>t</w:t>
      </w:r>
      <w:r>
        <w:t>i</w:t>
      </w:r>
      <w:r w:rsidR="00D0178A">
        <w:t>on på ett tillgängligt sätt.</w:t>
      </w:r>
      <w:r w:rsidR="000E6396">
        <w:t xml:space="preserve"> Det i sig kan på sikt öka tillgängligheten till digital service och </w:t>
      </w:r>
      <w:r w:rsidR="004F3683">
        <w:t xml:space="preserve">till </w:t>
      </w:r>
      <w:r w:rsidR="000E6396">
        <w:t>andra digitala tjänster ur ett större perspektiv</w:t>
      </w:r>
      <w:r w:rsidR="003A5512">
        <w:t xml:space="preserve">, något vi uppfattar är </w:t>
      </w:r>
      <w:bookmarkStart w:id="6" w:name="_GoBack"/>
      <w:bookmarkEnd w:id="6"/>
      <w:r w:rsidR="003A5512">
        <w:t>ett viktigt syfte med webbtillgänglighetsdirektvi</w:t>
      </w:r>
      <w:r w:rsidR="00682965">
        <w:t>v</w:t>
      </w:r>
      <w:r w:rsidR="003A5512">
        <w:t>et</w:t>
      </w:r>
      <w:r w:rsidR="000E6396">
        <w:t xml:space="preserve">. </w:t>
      </w:r>
    </w:p>
    <w:p w:rsidR="009137A1" w:rsidRDefault="009137A1"/>
    <w:p w:rsidR="00D0178A" w:rsidRDefault="003A5512">
      <w:r>
        <w:t xml:space="preserve">Det är självklart att </w:t>
      </w:r>
      <w:r w:rsidR="000E6396">
        <w:t>enskild</w:t>
      </w:r>
      <w:r>
        <w:t>a</w:t>
      </w:r>
      <w:r w:rsidR="000E6396">
        <w:t xml:space="preserve"> elev</w:t>
      </w:r>
      <w:r>
        <w:t>er, lärare</w:t>
      </w:r>
      <w:r w:rsidR="000E6396">
        <w:t xml:space="preserve"> </w:t>
      </w:r>
      <w:r w:rsidR="009137A1">
        <w:t>eller föräldr</w:t>
      </w:r>
      <w:r w:rsidR="00682965">
        <w:t>ar</w:t>
      </w:r>
      <w:r w:rsidR="009137A1">
        <w:t xml:space="preserve"> </w:t>
      </w:r>
      <w:r w:rsidR="000E6396">
        <w:t xml:space="preserve">inte ska kunna straffas om någonting </w:t>
      </w:r>
      <w:r w:rsidR="00B14C55">
        <w:t xml:space="preserve">den enskilde </w:t>
      </w:r>
      <w:r w:rsidR="000E6396">
        <w:t>eleven</w:t>
      </w:r>
      <w:r>
        <w:t xml:space="preserve">, läraren eller </w:t>
      </w:r>
      <w:r w:rsidR="001E53AD">
        <w:t>föräldern publicerar</w:t>
      </w:r>
      <w:r w:rsidR="000E6396">
        <w:t xml:space="preserve"> blir otillgängligt.</w:t>
      </w:r>
      <w:r w:rsidR="004F3683">
        <w:t xml:space="preserve"> Istället handlar det om att tillgängligheten ses ur ett strukturellt samhällsperspektiv där den pedagogiska delen inom utbildningsväsendet är en mycket viktig del.</w:t>
      </w:r>
    </w:p>
    <w:p w:rsidR="00D0178A" w:rsidRDefault="00D0178A"/>
    <w:p w:rsidR="000E6396" w:rsidRDefault="000E6396">
      <w:r>
        <w:t>Otillgängl</w:t>
      </w:r>
      <w:r w:rsidR="00D0178A">
        <w:t>i</w:t>
      </w:r>
      <w:r>
        <w:t>ga lärp</w:t>
      </w:r>
      <w:r w:rsidR="00D0178A">
        <w:t>l</w:t>
      </w:r>
      <w:r>
        <w:t xml:space="preserve">attformar </w:t>
      </w:r>
      <w:r w:rsidR="004F2401">
        <w:t>är i dagsl</w:t>
      </w:r>
      <w:r>
        <w:t>ä</w:t>
      </w:r>
      <w:r w:rsidR="004F2401">
        <w:t>g</w:t>
      </w:r>
      <w:r>
        <w:t>et ett mycket stort problem</w:t>
      </w:r>
      <w:r w:rsidR="004F2401">
        <w:t xml:space="preserve"> </w:t>
      </w:r>
      <w:r w:rsidR="004F2401">
        <w:rPr>
          <w:rStyle w:val="Fotnotsreferens"/>
        </w:rPr>
        <w:footnoteReference w:id="1"/>
      </w:r>
      <w:r>
        <w:t>.</w:t>
      </w:r>
    </w:p>
    <w:p w:rsidR="000E6396" w:rsidRDefault="004F2401">
      <w:r>
        <w:t>Det gör att elever och förä</w:t>
      </w:r>
      <w:r w:rsidR="000E6396">
        <w:t>l</w:t>
      </w:r>
      <w:r>
        <w:t xml:space="preserve">drar </w:t>
      </w:r>
      <w:r w:rsidR="0051662E">
        <w:t xml:space="preserve">som är synskadade </w:t>
      </w:r>
      <w:r>
        <w:t>m</w:t>
      </w:r>
      <w:r w:rsidR="000E6396">
        <w:t>å</w:t>
      </w:r>
      <w:r>
        <w:t>s</w:t>
      </w:r>
      <w:r w:rsidR="000E6396">
        <w:t>te be</w:t>
      </w:r>
      <w:r>
        <w:t xml:space="preserve"> om hjälp. Eleve</w:t>
      </w:r>
      <w:r w:rsidR="000E6396">
        <w:t>r</w:t>
      </w:r>
      <w:r>
        <w:t>na lär s</w:t>
      </w:r>
      <w:r w:rsidR="000E6396">
        <w:t>ig därmed inte att hantera</w:t>
      </w:r>
      <w:r w:rsidR="006A1318">
        <w:t xml:space="preserve"> informa</w:t>
      </w:r>
      <w:r w:rsidR="000E6396">
        <w:t>t</w:t>
      </w:r>
      <w:r w:rsidR="006A1318">
        <w:t>i</w:t>
      </w:r>
      <w:r w:rsidR="000E6396">
        <w:t>onssök</w:t>
      </w:r>
      <w:r w:rsidR="0051662E">
        <w:t>ning och publicering på ett sjä</w:t>
      </w:r>
      <w:r w:rsidR="000E6396">
        <w:t>l</w:t>
      </w:r>
      <w:r w:rsidR="0051662E">
        <w:t>v</w:t>
      </w:r>
      <w:r w:rsidR="000E6396">
        <w:t>ständigt sätt</w:t>
      </w:r>
      <w:r w:rsidR="0051662E">
        <w:t>. Eleverna</w:t>
      </w:r>
      <w:r w:rsidR="000E6396">
        <w:t xml:space="preserve"> </w:t>
      </w:r>
      <w:r w:rsidR="0051662E">
        <w:t xml:space="preserve">riskerar därmed </w:t>
      </w:r>
      <w:r w:rsidR="000E6396">
        <w:t xml:space="preserve">att </w:t>
      </w:r>
      <w:r w:rsidR="0051662E">
        <w:t xml:space="preserve">inte </w:t>
      </w:r>
      <w:r w:rsidR="000E6396">
        <w:t>kunna uppnå läroplanernas mål.</w:t>
      </w:r>
    </w:p>
    <w:p w:rsidR="00D0178A" w:rsidRDefault="00D0178A"/>
    <w:p w:rsidR="00D0178A" w:rsidRDefault="00D0178A">
      <w:r>
        <w:t>Dessutom omfatt</w:t>
      </w:r>
      <w:r w:rsidR="000E6396">
        <w:t>as inte utbildning inom universi</w:t>
      </w:r>
      <w:r>
        <w:t>tet</w:t>
      </w:r>
      <w:r w:rsidR="000E6396">
        <w:t xml:space="preserve"> och högskola av u</w:t>
      </w:r>
      <w:r>
        <w:t>n</w:t>
      </w:r>
      <w:r w:rsidR="000E6396">
        <w:t>d</w:t>
      </w:r>
      <w:r>
        <w:t>antagen. Vi kan inte se vad som skiljer högre utbildning f</w:t>
      </w:r>
      <w:r w:rsidR="000E6396">
        <w:t>r</w:t>
      </w:r>
      <w:r>
        <w:t>ån utbildning inom ramen för skolväsendet i detta hänseende.</w:t>
      </w:r>
    </w:p>
    <w:p w:rsidR="00D0178A" w:rsidRDefault="00D0178A"/>
    <w:p w:rsidR="00B67395" w:rsidRDefault="00B67395" w:rsidP="00C25502">
      <w:pPr>
        <w:pStyle w:val="Rubrik2"/>
      </w:pPr>
      <w:bookmarkStart w:id="7" w:name="_Toc503945064"/>
      <w:r>
        <w:t>8.8 Förutsättningar för att helt eller delvis undanta</w:t>
      </w:r>
      <w:bookmarkEnd w:id="7"/>
      <w:r>
        <w:t xml:space="preserve"> </w:t>
      </w:r>
    </w:p>
    <w:p w:rsidR="00B67395" w:rsidRDefault="00B67395" w:rsidP="00B67395">
      <w:r>
        <w:t>digital service från tillgänglighetskraven</w:t>
      </w:r>
      <w:r w:rsidR="00C25502">
        <w:t xml:space="preserve"> (sid. 90)</w:t>
      </w:r>
    </w:p>
    <w:p w:rsidR="00BD36A1" w:rsidRDefault="0082791D" w:rsidP="00B67395">
      <w:r>
        <w:t xml:space="preserve">SRF </w:t>
      </w:r>
      <w:r w:rsidR="00682965">
        <w:t xml:space="preserve">avvisar </w:t>
      </w:r>
      <w:r w:rsidR="00B67395">
        <w:t>att en skälighetsbedö</w:t>
      </w:r>
      <w:r w:rsidR="00FB026E">
        <w:t>mning ska kunna göra att en off</w:t>
      </w:r>
      <w:r w:rsidR="00B67395">
        <w:t>e</w:t>
      </w:r>
      <w:r w:rsidR="00FB026E">
        <w:t>ntl</w:t>
      </w:r>
      <w:r w:rsidR="00B67395">
        <w:t>i</w:t>
      </w:r>
      <w:r w:rsidR="00FB026E">
        <w:t>g</w:t>
      </w:r>
      <w:r w:rsidR="00B67395">
        <w:t xml:space="preserve"> aktör </w:t>
      </w:r>
      <w:r w:rsidR="00FB026E">
        <w:t>el</w:t>
      </w:r>
      <w:r w:rsidR="00B67395">
        <w:t>l</w:t>
      </w:r>
      <w:r w:rsidR="00FB026E">
        <w:t>e</w:t>
      </w:r>
      <w:r w:rsidR="00B67395">
        <w:t>r en privat aktör som omfattas av lagen helt eller delvis ska kunna undantas</w:t>
      </w:r>
      <w:r w:rsidR="00FB026E">
        <w:t xml:space="preserve"> f</w:t>
      </w:r>
      <w:r w:rsidR="00B67395">
        <w:t>r</w:t>
      </w:r>
      <w:r w:rsidR="00FB026E">
        <w:t xml:space="preserve">ån kraven </w:t>
      </w:r>
      <w:r w:rsidR="00B67395">
        <w:t>p</w:t>
      </w:r>
      <w:r w:rsidR="00FB026E">
        <w:t>å</w:t>
      </w:r>
      <w:r w:rsidR="00B67395">
        <w:t xml:space="preserve"> tillgängliggörande av digital service.</w:t>
      </w:r>
      <w:r w:rsidR="00BD36A1">
        <w:t xml:space="preserve"> Att faktorer såsom ekonomiska förutsättningar och hur mycket en service används av </w:t>
      </w:r>
      <w:r w:rsidR="00992952">
        <w:t>personer</w:t>
      </w:r>
      <w:r w:rsidR="00BD36A1">
        <w:t xml:space="preserve"> med </w:t>
      </w:r>
      <w:r w:rsidR="00992952">
        <w:t>funktionsnedsättning</w:t>
      </w:r>
      <w:r w:rsidR="00BD36A1">
        <w:t xml:space="preserve"> tror vi kan göra lagen tandlös inom flera </w:t>
      </w:r>
      <w:r w:rsidR="00992952">
        <w:t>viktiga</w:t>
      </w:r>
      <w:r w:rsidR="00BD36A1">
        <w:t xml:space="preserve"> områden. Det gäller inte minst tillgängliggörande av intranät som skulle </w:t>
      </w:r>
      <w:r w:rsidR="00A15B29">
        <w:t xml:space="preserve">kunna </w:t>
      </w:r>
      <w:r w:rsidR="00BD36A1">
        <w:t>skapa nya möjligheter till arbet</w:t>
      </w:r>
      <w:r w:rsidR="00A15B29">
        <w:t>e</w:t>
      </w:r>
      <w:r w:rsidR="00BD36A1">
        <w:t xml:space="preserve"> för personer med synnedsättning och blindhet.</w:t>
      </w:r>
    </w:p>
    <w:p w:rsidR="00BD36A1" w:rsidRDefault="00BD36A1" w:rsidP="00B67395"/>
    <w:p w:rsidR="00BD36A1" w:rsidRDefault="00BD36A1" w:rsidP="00B67395">
      <w:r>
        <w:lastRenderedPageBreak/>
        <w:t>Beträffan</w:t>
      </w:r>
      <w:r w:rsidR="00A15B29">
        <w:t>de att</w:t>
      </w:r>
      <w:r>
        <w:t xml:space="preserve"> svaga ekonomiska förutsättningar kan vara skäl för undantag</w:t>
      </w:r>
      <w:r w:rsidR="00682965">
        <w:t>,</w:t>
      </w:r>
      <w:r>
        <w:t xml:space="preserve"> </w:t>
      </w:r>
      <w:r w:rsidR="00682965">
        <w:t xml:space="preserve">har </w:t>
      </w:r>
      <w:r>
        <w:t>lagråd</w:t>
      </w:r>
      <w:r w:rsidR="00A15B29">
        <w:t>et följande resonem</w:t>
      </w:r>
      <w:r>
        <w:t>a</w:t>
      </w:r>
      <w:r w:rsidR="00A15B29">
        <w:t>n</w:t>
      </w:r>
      <w:r>
        <w:t xml:space="preserve">g i sitt yttrande över regeringens lagrådsremiss om införande av bristande tillgänglighet som </w:t>
      </w:r>
      <w:r w:rsidR="00A15B29">
        <w:t xml:space="preserve">en </w:t>
      </w:r>
      <w:r>
        <w:t>form av diskriminering (protokoll 2014-03-06 sid. 5):</w:t>
      </w:r>
    </w:p>
    <w:p w:rsidR="00BD36A1" w:rsidRDefault="00BD36A1" w:rsidP="00B67395"/>
    <w:p w:rsidR="00A15B29" w:rsidRDefault="00A15B29" w:rsidP="00A15B29">
      <w:r>
        <w:t>"De åtgärder som enligt förslaget ska vidtas för att diskriminering enligt den nya punkten inte ska föreligga är sådana som är skäliga utifrån vissa krav och omständigheter. En viktig del av skälighe</w:t>
      </w:r>
      <w:r w:rsidR="00992952">
        <w:t>tsbedömningen an</w:t>
      </w:r>
      <w:r>
        <w:t xml:space="preserve">ses därvid vara de ekonomiska förutsättningarna hos verksamhetsutövaren (se s. 127 y). Det innebär t.ex., som Lagrådet förstår det, att ett företag eller en institution med svag ekonomi kan kontinuerligt prioritera annan verksamhet framför åtgärder för att förbättra tillgängligheten för personer med funktionsnedsättning, fastän sådana åtgärder ter sig starkt motiverade - utan att därmed enligt förslaget bryta mot diskrimineringsförbudet. Lagrådet finner att det inte är godtagbart att vid bedömningen av om diskriminering föreligger ta hänsyn till om verksamhetsutövaren har god eller dålig ekonomi." </w:t>
      </w:r>
    </w:p>
    <w:p w:rsidR="00A15B29" w:rsidRDefault="00A15B29" w:rsidP="00A15B29">
      <w:r>
        <w:tab/>
        <w:t xml:space="preserve"> </w:t>
      </w:r>
    </w:p>
    <w:p w:rsidR="00BD36A1" w:rsidRDefault="00BD36A1" w:rsidP="00BD36A1">
      <w:pPr>
        <w:pStyle w:val="Rubrik2"/>
      </w:pPr>
      <w:bookmarkStart w:id="8" w:name="_Toc503945065"/>
      <w:r>
        <w:t>8.10.3 Uppföljning (sid. 111 ff)</w:t>
      </w:r>
      <w:bookmarkEnd w:id="8"/>
    </w:p>
    <w:p w:rsidR="00BD36A1" w:rsidRDefault="00BD36A1" w:rsidP="00BD36A1">
      <w:r>
        <w:t>Vi välkomnar utredningens förslag om att ett föreläggande ska kunna förenas med vite. Dock anser vi att detta även ska omfatta statliga myndigheter. Det är också viktigt att vitesbeloppen är så pass höga att det inte lönar sig att betala vitet istället för att vidta nödv</w:t>
      </w:r>
      <w:r w:rsidR="0055010E">
        <w:t xml:space="preserve">ändiga åtgärder i syfte </w:t>
      </w:r>
      <w:r>
        <w:t>att avhjälpa bristande tillgänglighet.</w:t>
      </w:r>
    </w:p>
    <w:p w:rsidR="00BD36A1" w:rsidRDefault="00BD36A1" w:rsidP="00BD36A1">
      <w:r>
        <w:t xml:space="preserve">Vi anser att </w:t>
      </w:r>
      <w:r w:rsidR="00A15B29">
        <w:t xml:space="preserve">det bör utredas om </w:t>
      </w:r>
      <w:r>
        <w:t xml:space="preserve">förslagen i datalagsutredningens betänkande </w:t>
      </w:r>
      <w:r w:rsidRPr="00A15B29">
        <w:rPr>
          <w:i/>
        </w:rPr>
        <w:t xml:space="preserve">Ny dataskyddslag </w:t>
      </w:r>
      <w:r>
        <w:t>(SOU 2017:39)</w:t>
      </w:r>
      <w:r w:rsidR="00A15B29">
        <w:t xml:space="preserve">" kan vara en rimlig </w:t>
      </w:r>
      <w:r>
        <w:t xml:space="preserve">utgångspunkt. </w:t>
      </w:r>
    </w:p>
    <w:p w:rsidR="00BD36A1" w:rsidRDefault="00BD36A1" w:rsidP="00BD36A1"/>
    <w:p w:rsidR="00BD36A1" w:rsidRDefault="00BD36A1" w:rsidP="00BD36A1">
      <w:r>
        <w:t>Enligt utredningens förslag ska statliga och kommunala myndighe</w:t>
      </w:r>
      <w:r w:rsidR="00992952">
        <w:t xml:space="preserve">ter kunna utdömas vite med 10 </w:t>
      </w:r>
      <w:r w:rsidR="00682965">
        <w:t>M</w:t>
      </w:r>
      <w:r>
        <w:t xml:space="preserve">kr för mindre allvarliga överträdelser och med 20 </w:t>
      </w:r>
      <w:r w:rsidR="00682965">
        <w:t>M</w:t>
      </w:r>
      <w:r>
        <w:t xml:space="preserve">kr för mer allvarliga överträdelser. </w:t>
      </w:r>
    </w:p>
    <w:p w:rsidR="00BD36A1" w:rsidRDefault="00BD36A1" w:rsidP="00BD36A1">
      <w:r>
        <w:t xml:space="preserve">(Sid. 287 f).  </w:t>
      </w:r>
    </w:p>
    <w:p w:rsidR="00CC369E" w:rsidRDefault="00CC369E" w:rsidP="00CC369E">
      <w:pPr>
        <w:rPr>
          <w:szCs w:val="28"/>
        </w:rPr>
      </w:pPr>
    </w:p>
    <w:p w:rsidR="00CC369E" w:rsidRDefault="00CC369E" w:rsidP="00CC369E">
      <w:pPr>
        <w:rPr>
          <w:szCs w:val="28"/>
        </w:rPr>
      </w:pPr>
    </w:p>
    <w:p w:rsidR="00CC369E" w:rsidRDefault="00CC369E" w:rsidP="00CC369E">
      <w:pPr>
        <w:rPr>
          <w:b/>
          <w:szCs w:val="28"/>
        </w:rPr>
      </w:pPr>
      <w:r>
        <w:rPr>
          <w:b/>
          <w:szCs w:val="28"/>
        </w:rPr>
        <w:t>SYNSKADADES RIKSFÖRBUND</w:t>
      </w:r>
    </w:p>
    <w:p w:rsidR="00CC369E" w:rsidRDefault="00CC369E" w:rsidP="00CC369E">
      <w:pPr>
        <w:rPr>
          <w:b/>
          <w:szCs w:val="28"/>
        </w:rPr>
      </w:pPr>
    </w:p>
    <w:p w:rsidR="00CC369E" w:rsidRDefault="00CC369E" w:rsidP="00CC369E">
      <w:pPr>
        <w:rPr>
          <w:b/>
          <w:szCs w:val="28"/>
        </w:rPr>
      </w:pPr>
    </w:p>
    <w:p w:rsidR="006719BF" w:rsidRDefault="006719BF" w:rsidP="00CC369E">
      <w:pPr>
        <w:rPr>
          <w:b/>
          <w:szCs w:val="28"/>
        </w:rPr>
      </w:pPr>
    </w:p>
    <w:p w:rsidR="00CC369E" w:rsidRDefault="00CC369E" w:rsidP="00CC369E">
      <w:pPr>
        <w:rPr>
          <w:b/>
          <w:szCs w:val="28"/>
        </w:rPr>
      </w:pPr>
    </w:p>
    <w:p w:rsidR="00CC369E" w:rsidRDefault="00CC369E" w:rsidP="00CC369E">
      <w:pPr>
        <w:rPr>
          <w:b/>
          <w:szCs w:val="28"/>
        </w:rPr>
      </w:pPr>
      <w:r>
        <w:rPr>
          <w:b/>
          <w:szCs w:val="28"/>
        </w:rPr>
        <w:t>Håkan Thomsson</w:t>
      </w:r>
    </w:p>
    <w:p w:rsidR="00CC369E" w:rsidRDefault="00682965" w:rsidP="00CC369E">
      <w:pPr>
        <w:rPr>
          <w:b/>
          <w:szCs w:val="28"/>
        </w:rPr>
      </w:pPr>
      <w:r>
        <w:rPr>
          <w:b/>
          <w:szCs w:val="28"/>
        </w:rPr>
        <w:t>f</w:t>
      </w:r>
      <w:r w:rsidR="00CC369E">
        <w:rPr>
          <w:b/>
          <w:szCs w:val="28"/>
        </w:rPr>
        <w:t>örbundsordförande</w:t>
      </w:r>
      <w:r w:rsidR="00CC369E">
        <w:rPr>
          <w:b/>
          <w:szCs w:val="28"/>
        </w:rPr>
        <w:tab/>
      </w:r>
    </w:p>
    <w:p w:rsidR="00BD36A1" w:rsidRDefault="00BD36A1" w:rsidP="00BD36A1">
      <w:pPr>
        <w:rPr>
          <w:b/>
        </w:rPr>
      </w:pPr>
    </w:p>
    <w:sectPr w:rsidR="00BD36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099" w:rsidRDefault="00F87099" w:rsidP="005352AB">
      <w:r>
        <w:separator/>
      </w:r>
    </w:p>
  </w:endnote>
  <w:endnote w:type="continuationSeparator" w:id="0">
    <w:p w:rsidR="00F87099" w:rsidRDefault="00F87099" w:rsidP="0053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099" w:rsidRDefault="00F87099" w:rsidP="005352AB">
      <w:r>
        <w:separator/>
      </w:r>
    </w:p>
  </w:footnote>
  <w:footnote w:type="continuationSeparator" w:id="0">
    <w:p w:rsidR="00F87099" w:rsidRDefault="00F87099" w:rsidP="005352AB">
      <w:r>
        <w:continuationSeparator/>
      </w:r>
    </w:p>
  </w:footnote>
  <w:footnote w:id="1">
    <w:p w:rsidR="004F2401" w:rsidRDefault="004F2401">
      <w:pPr>
        <w:pStyle w:val="Fotnotstext"/>
      </w:pPr>
      <w:r>
        <w:rPr>
          <w:rStyle w:val="Fotnotsreferens"/>
        </w:rPr>
        <w:footnoteRef/>
      </w:r>
      <w:r>
        <w:t xml:space="preserve"> </w:t>
      </w:r>
      <w:r w:rsidRPr="004F2401">
        <w:t xml:space="preserve">Se till exempel ”Granskning av teknisk tillgänglighet i tolv utbildningsplattformar" Specialpedagogiska skolmyndigheten </w:t>
      </w:r>
      <w:r w:rsidR="004C2955">
        <w:t>(2009)</w:t>
      </w:r>
      <w:r>
        <w:t xml:space="preserve"> samt en norsk studie</w:t>
      </w:r>
      <w:r w:rsidRPr="004F2401">
        <w:t xml:space="preserve"> ”Gransking av tilgjengelighet for personer med nedsatt funksjonsevne i digitale læreplattforme</w:t>
      </w:r>
      <w:r w:rsidR="004C2955">
        <w:t>r (LMS) i grunnskolen (Funka Nu 2011)</w:t>
      </w:r>
      <w:r w:rsidR="004C2955" w:rsidRPr="004F240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AB"/>
    <w:rsid w:val="00011130"/>
    <w:rsid w:val="000168FE"/>
    <w:rsid w:val="00025417"/>
    <w:rsid w:val="00025A78"/>
    <w:rsid w:val="0002609C"/>
    <w:rsid w:val="000266B5"/>
    <w:rsid w:val="00031381"/>
    <w:rsid w:val="00031DB3"/>
    <w:rsid w:val="000320B0"/>
    <w:rsid w:val="00033FBA"/>
    <w:rsid w:val="00040585"/>
    <w:rsid w:val="000411F5"/>
    <w:rsid w:val="00045834"/>
    <w:rsid w:val="0004780C"/>
    <w:rsid w:val="000542C7"/>
    <w:rsid w:val="00057406"/>
    <w:rsid w:val="00057D1F"/>
    <w:rsid w:val="00062341"/>
    <w:rsid w:val="000623BF"/>
    <w:rsid w:val="000635B0"/>
    <w:rsid w:val="00065EB2"/>
    <w:rsid w:val="00076CF2"/>
    <w:rsid w:val="0008131F"/>
    <w:rsid w:val="0008186D"/>
    <w:rsid w:val="00086BCC"/>
    <w:rsid w:val="00090757"/>
    <w:rsid w:val="000923C8"/>
    <w:rsid w:val="00096195"/>
    <w:rsid w:val="000977CA"/>
    <w:rsid w:val="00097EFE"/>
    <w:rsid w:val="000A36BD"/>
    <w:rsid w:val="000A59CA"/>
    <w:rsid w:val="000A5C12"/>
    <w:rsid w:val="000A7F0F"/>
    <w:rsid w:val="000B4CEC"/>
    <w:rsid w:val="000D3059"/>
    <w:rsid w:val="000D63AB"/>
    <w:rsid w:val="000D715D"/>
    <w:rsid w:val="000E1007"/>
    <w:rsid w:val="000E3A1C"/>
    <w:rsid w:val="000E6396"/>
    <w:rsid w:val="000F4DAB"/>
    <w:rsid w:val="000F62BF"/>
    <w:rsid w:val="001012A5"/>
    <w:rsid w:val="00102760"/>
    <w:rsid w:val="00103E0C"/>
    <w:rsid w:val="001055D7"/>
    <w:rsid w:val="001057F4"/>
    <w:rsid w:val="001078C6"/>
    <w:rsid w:val="001130C1"/>
    <w:rsid w:val="001212E3"/>
    <w:rsid w:val="00121956"/>
    <w:rsid w:val="00122100"/>
    <w:rsid w:val="00123ED6"/>
    <w:rsid w:val="0012558D"/>
    <w:rsid w:val="00125FE3"/>
    <w:rsid w:val="001263B8"/>
    <w:rsid w:val="001279A0"/>
    <w:rsid w:val="00131897"/>
    <w:rsid w:val="00131D88"/>
    <w:rsid w:val="00134436"/>
    <w:rsid w:val="00141B59"/>
    <w:rsid w:val="00142CF1"/>
    <w:rsid w:val="00142D77"/>
    <w:rsid w:val="00145574"/>
    <w:rsid w:val="00145804"/>
    <w:rsid w:val="0015123A"/>
    <w:rsid w:val="00161836"/>
    <w:rsid w:val="00161EBF"/>
    <w:rsid w:val="00162686"/>
    <w:rsid w:val="00167971"/>
    <w:rsid w:val="001701B1"/>
    <w:rsid w:val="00170388"/>
    <w:rsid w:val="00170650"/>
    <w:rsid w:val="00170E9D"/>
    <w:rsid w:val="00173858"/>
    <w:rsid w:val="00177ACA"/>
    <w:rsid w:val="00185A42"/>
    <w:rsid w:val="00192C2B"/>
    <w:rsid w:val="001A24BF"/>
    <w:rsid w:val="001A7A84"/>
    <w:rsid w:val="001B02BA"/>
    <w:rsid w:val="001B4050"/>
    <w:rsid w:val="001B4825"/>
    <w:rsid w:val="001B49BB"/>
    <w:rsid w:val="001B4BA5"/>
    <w:rsid w:val="001B535D"/>
    <w:rsid w:val="001B60E1"/>
    <w:rsid w:val="001B7017"/>
    <w:rsid w:val="001B741C"/>
    <w:rsid w:val="001C40E6"/>
    <w:rsid w:val="001C65B1"/>
    <w:rsid w:val="001D31BB"/>
    <w:rsid w:val="001D5428"/>
    <w:rsid w:val="001E16FD"/>
    <w:rsid w:val="001E1701"/>
    <w:rsid w:val="001E4409"/>
    <w:rsid w:val="001E4CE6"/>
    <w:rsid w:val="001E4F12"/>
    <w:rsid w:val="001E53AD"/>
    <w:rsid w:val="001F142A"/>
    <w:rsid w:val="00202CC8"/>
    <w:rsid w:val="00207237"/>
    <w:rsid w:val="00207789"/>
    <w:rsid w:val="002117EC"/>
    <w:rsid w:val="00211A57"/>
    <w:rsid w:val="00212F90"/>
    <w:rsid w:val="0021575B"/>
    <w:rsid w:val="0021792B"/>
    <w:rsid w:val="0022669C"/>
    <w:rsid w:val="0023357E"/>
    <w:rsid w:val="00243A13"/>
    <w:rsid w:val="00246A14"/>
    <w:rsid w:val="00246F71"/>
    <w:rsid w:val="00252A34"/>
    <w:rsid w:val="00252BC0"/>
    <w:rsid w:val="002573CB"/>
    <w:rsid w:val="002622EC"/>
    <w:rsid w:val="00263516"/>
    <w:rsid w:val="00275D4C"/>
    <w:rsid w:val="00277631"/>
    <w:rsid w:val="002811A4"/>
    <w:rsid w:val="0028295E"/>
    <w:rsid w:val="00284DE4"/>
    <w:rsid w:val="00284E38"/>
    <w:rsid w:val="00285192"/>
    <w:rsid w:val="002871CF"/>
    <w:rsid w:val="00291AE7"/>
    <w:rsid w:val="002951CE"/>
    <w:rsid w:val="002A395B"/>
    <w:rsid w:val="002A7909"/>
    <w:rsid w:val="002B1BB3"/>
    <w:rsid w:val="002B2EA0"/>
    <w:rsid w:val="002B56F7"/>
    <w:rsid w:val="002C32B7"/>
    <w:rsid w:val="002D0230"/>
    <w:rsid w:val="002D1775"/>
    <w:rsid w:val="002E5F56"/>
    <w:rsid w:val="002E78A8"/>
    <w:rsid w:val="002F1CE5"/>
    <w:rsid w:val="002F2738"/>
    <w:rsid w:val="002F39D1"/>
    <w:rsid w:val="002F3B69"/>
    <w:rsid w:val="002F426C"/>
    <w:rsid w:val="002F5DF1"/>
    <w:rsid w:val="002F7ED7"/>
    <w:rsid w:val="00301584"/>
    <w:rsid w:val="00302C13"/>
    <w:rsid w:val="0030716F"/>
    <w:rsid w:val="00311BBF"/>
    <w:rsid w:val="00311F33"/>
    <w:rsid w:val="00314FD5"/>
    <w:rsid w:val="00317006"/>
    <w:rsid w:val="00321655"/>
    <w:rsid w:val="00324C88"/>
    <w:rsid w:val="0032630A"/>
    <w:rsid w:val="00327EE1"/>
    <w:rsid w:val="00332316"/>
    <w:rsid w:val="003356AB"/>
    <w:rsid w:val="00347DA8"/>
    <w:rsid w:val="00350973"/>
    <w:rsid w:val="00355AB7"/>
    <w:rsid w:val="003628C2"/>
    <w:rsid w:val="003702E8"/>
    <w:rsid w:val="0037533D"/>
    <w:rsid w:val="00377F55"/>
    <w:rsid w:val="003811B0"/>
    <w:rsid w:val="003832BB"/>
    <w:rsid w:val="00385237"/>
    <w:rsid w:val="003855F7"/>
    <w:rsid w:val="0039051B"/>
    <w:rsid w:val="00390B49"/>
    <w:rsid w:val="00391754"/>
    <w:rsid w:val="00392182"/>
    <w:rsid w:val="00392CB0"/>
    <w:rsid w:val="003947F7"/>
    <w:rsid w:val="00395D1A"/>
    <w:rsid w:val="003978C3"/>
    <w:rsid w:val="003A1708"/>
    <w:rsid w:val="003A4627"/>
    <w:rsid w:val="003A5512"/>
    <w:rsid w:val="003A65C3"/>
    <w:rsid w:val="003A7E57"/>
    <w:rsid w:val="003B097F"/>
    <w:rsid w:val="003B196E"/>
    <w:rsid w:val="003B67AF"/>
    <w:rsid w:val="003C0C2F"/>
    <w:rsid w:val="003C4A1E"/>
    <w:rsid w:val="003C4B4C"/>
    <w:rsid w:val="003C6E16"/>
    <w:rsid w:val="003D5347"/>
    <w:rsid w:val="003D54BB"/>
    <w:rsid w:val="003E04E9"/>
    <w:rsid w:val="003E0711"/>
    <w:rsid w:val="003E35F5"/>
    <w:rsid w:val="003E6AFC"/>
    <w:rsid w:val="003F3350"/>
    <w:rsid w:val="003F5B88"/>
    <w:rsid w:val="00402D67"/>
    <w:rsid w:val="00405B94"/>
    <w:rsid w:val="004064B9"/>
    <w:rsid w:val="00406CDE"/>
    <w:rsid w:val="00407A88"/>
    <w:rsid w:val="004112D3"/>
    <w:rsid w:val="00412E5E"/>
    <w:rsid w:val="00413911"/>
    <w:rsid w:val="00415FE2"/>
    <w:rsid w:val="0042342C"/>
    <w:rsid w:val="00426019"/>
    <w:rsid w:val="004266DD"/>
    <w:rsid w:val="004312E1"/>
    <w:rsid w:val="004355C2"/>
    <w:rsid w:val="00435CFC"/>
    <w:rsid w:val="00436A85"/>
    <w:rsid w:val="004374D7"/>
    <w:rsid w:val="0045240E"/>
    <w:rsid w:val="0045478A"/>
    <w:rsid w:val="00455419"/>
    <w:rsid w:val="00455B03"/>
    <w:rsid w:val="004634A5"/>
    <w:rsid w:val="004637D5"/>
    <w:rsid w:val="00465018"/>
    <w:rsid w:val="00473371"/>
    <w:rsid w:val="00474F69"/>
    <w:rsid w:val="00481A99"/>
    <w:rsid w:val="00483B3B"/>
    <w:rsid w:val="00483D8D"/>
    <w:rsid w:val="00487F78"/>
    <w:rsid w:val="00497229"/>
    <w:rsid w:val="004A065B"/>
    <w:rsid w:val="004A5596"/>
    <w:rsid w:val="004B2D33"/>
    <w:rsid w:val="004B7AA9"/>
    <w:rsid w:val="004B7E0F"/>
    <w:rsid w:val="004C0A68"/>
    <w:rsid w:val="004C2955"/>
    <w:rsid w:val="004C2D14"/>
    <w:rsid w:val="004C5D24"/>
    <w:rsid w:val="004C698E"/>
    <w:rsid w:val="004D07C3"/>
    <w:rsid w:val="004D281C"/>
    <w:rsid w:val="004D5E62"/>
    <w:rsid w:val="004E170B"/>
    <w:rsid w:val="004E18D9"/>
    <w:rsid w:val="004E33FF"/>
    <w:rsid w:val="004E42DF"/>
    <w:rsid w:val="004E594A"/>
    <w:rsid w:val="004F2401"/>
    <w:rsid w:val="004F2E4C"/>
    <w:rsid w:val="004F3683"/>
    <w:rsid w:val="004F47F4"/>
    <w:rsid w:val="004F53C1"/>
    <w:rsid w:val="004F5417"/>
    <w:rsid w:val="004F559B"/>
    <w:rsid w:val="00500F14"/>
    <w:rsid w:val="00503073"/>
    <w:rsid w:val="0050594D"/>
    <w:rsid w:val="00505D4B"/>
    <w:rsid w:val="00506F34"/>
    <w:rsid w:val="00511DD5"/>
    <w:rsid w:val="0051662E"/>
    <w:rsid w:val="00522263"/>
    <w:rsid w:val="00524DDF"/>
    <w:rsid w:val="0052613A"/>
    <w:rsid w:val="0052716D"/>
    <w:rsid w:val="00527933"/>
    <w:rsid w:val="00531CCA"/>
    <w:rsid w:val="005352AB"/>
    <w:rsid w:val="00540CB8"/>
    <w:rsid w:val="00542285"/>
    <w:rsid w:val="00543733"/>
    <w:rsid w:val="005457B4"/>
    <w:rsid w:val="0055010E"/>
    <w:rsid w:val="00550CDD"/>
    <w:rsid w:val="0055435A"/>
    <w:rsid w:val="005554C1"/>
    <w:rsid w:val="005559D9"/>
    <w:rsid w:val="00563581"/>
    <w:rsid w:val="00566264"/>
    <w:rsid w:val="0056656A"/>
    <w:rsid w:val="00574384"/>
    <w:rsid w:val="00575599"/>
    <w:rsid w:val="00586EF8"/>
    <w:rsid w:val="00587A85"/>
    <w:rsid w:val="00592758"/>
    <w:rsid w:val="005934E7"/>
    <w:rsid w:val="005A207F"/>
    <w:rsid w:val="005A5A93"/>
    <w:rsid w:val="005B528D"/>
    <w:rsid w:val="005B5E40"/>
    <w:rsid w:val="005B65B2"/>
    <w:rsid w:val="005B7DAB"/>
    <w:rsid w:val="005C19F9"/>
    <w:rsid w:val="005C46E9"/>
    <w:rsid w:val="005D2B59"/>
    <w:rsid w:val="005E0127"/>
    <w:rsid w:val="005E3BA5"/>
    <w:rsid w:val="005F3026"/>
    <w:rsid w:val="005F3F9D"/>
    <w:rsid w:val="005F5537"/>
    <w:rsid w:val="005F788A"/>
    <w:rsid w:val="005F7C60"/>
    <w:rsid w:val="00600B73"/>
    <w:rsid w:val="00600D5B"/>
    <w:rsid w:val="006070A2"/>
    <w:rsid w:val="0061054C"/>
    <w:rsid w:val="00610594"/>
    <w:rsid w:val="00610A45"/>
    <w:rsid w:val="0061781B"/>
    <w:rsid w:val="0062536E"/>
    <w:rsid w:val="00631E71"/>
    <w:rsid w:val="00633B54"/>
    <w:rsid w:val="006411C1"/>
    <w:rsid w:val="006431EB"/>
    <w:rsid w:val="006466BB"/>
    <w:rsid w:val="006466C0"/>
    <w:rsid w:val="0065352E"/>
    <w:rsid w:val="00656306"/>
    <w:rsid w:val="006564E8"/>
    <w:rsid w:val="006635B4"/>
    <w:rsid w:val="006652D7"/>
    <w:rsid w:val="006706FC"/>
    <w:rsid w:val="006719BF"/>
    <w:rsid w:val="006744A9"/>
    <w:rsid w:val="00674DA6"/>
    <w:rsid w:val="00677B88"/>
    <w:rsid w:val="0068007A"/>
    <w:rsid w:val="00682965"/>
    <w:rsid w:val="006845FF"/>
    <w:rsid w:val="0068606F"/>
    <w:rsid w:val="0068607F"/>
    <w:rsid w:val="0068645D"/>
    <w:rsid w:val="00691D58"/>
    <w:rsid w:val="006A1318"/>
    <w:rsid w:val="006A4131"/>
    <w:rsid w:val="006A76AB"/>
    <w:rsid w:val="006B0CFF"/>
    <w:rsid w:val="006B3A60"/>
    <w:rsid w:val="006B65E4"/>
    <w:rsid w:val="006B6EE2"/>
    <w:rsid w:val="006B7693"/>
    <w:rsid w:val="006C0451"/>
    <w:rsid w:val="006C2A4D"/>
    <w:rsid w:val="006C4075"/>
    <w:rsid w:val="006C719B"/>
    <w:rsid w:val="006C7BA9"/>
    <w:rsid w:val="006D0405"/>
    <w:rsid w:val="006D0B6C"/>
    <w:rsid w:val="006D34AE"/>
    <w:rsid w:val="006D4810"/>
    <w:rsid w:val="006D4B67"/>
    <w:rsid w:val="006D6A55"/>
    <w:rsid w:val="006D7FEB"/>
    <w:rsid w:val="006E19E2"/>
    <w:rsid w:val="006E3D03"/>
    <w:rsid w:val="006F20C4"/>
    <w:rsid w:val="006F3282"/>
    <w:rsid w:val="006F3B0D"/>
    <w:rsid w:val="00704E40"/>
    <w:rsid w:val="007075A8"/>
    <w:rsid w:val="00710BA3"/>
    <w:rsid w:val="00712E4D"/>
    <w:rsid w:val="00717258"/>
    <w:rsid w:val="007178A5"/>
    <w:rsid w:val="00717D9F"/>
    <w:rsid w:val="00720600"/>
    <w:rsid w:val="00720DB4"/>
    <w:rsid w:val="007220DB"/>
    <w:rsid w:val="00722E5E"/>
    <w:rsid w:val="007314E3"/>
    <w:rsid w:val="0073273A"/>
    <w:rsid w:val="00732A07"/>
    <w:rsid w:val="00732AF0"/>
    <w:rsid w:val="00740597"/>
    <w:rsid w:val="00745DE6"/>
    <w:rsid w:val="00760FC0"/>
    <w:rsid w:val="00766D6B"/>
    <w:rsid w:val="007671E1"/>
    <w:rsid w:val="00773F23"/>
    <w:rsid w:val="00775791"/>
    <w:rsid w:val="0078060D"/>
    <w:rsid w:val="00781CF8"/>
    <w:rsid w:val="0078256A"/>
    <w:rsid w:val="00783C15"/>
    <w:rsid w:val="00783E68"/>
    <w:rsid w:val="00786087"/>
    <w:rsid w:val="00792B35"/>
    <w:rsid w:val="00792DED"/>
    <w:rsid w:val="0079491A"/>
    <w:rsid w:val="00795454"/>
    <w:rsid w:val="007A3112"/>
    <w:rsid w:val="007A3A25"/>
    <w:rsid w:val="007A3D91"/>
    <w:rsid w:val="007A5B34"/>
    <w:rsid w:val="007A5D45"/>
    <w:rsid w:val="007B560F"/>
    <w:rsid w:val="007C0D47"/>
    <w:rsid w:val="007D64DD"/>
    <w:rsid w:val="007D69C9"/>
    <w:rsid w:val="007E1EEA"/>
    <w:rsid w:val="007F3890"/>
    <w:rsid w:val="007F6989"/>
    <w:rsid w:val="008031F2"/>
    <w:rsid w:val="008107ED"/>
    <w:rsid w:val="00812745"/>
    <w:rsid w:val="00813FFC"/>
    <w:rsid w:val="00816C31"/>
    <w:rsid w:val="00817B87"/>
    <w:rsid w:val="00817E66"/>
    <w:rsid w:val="0082035B"/>
    <w:rsid w:val="00821195"/>
    <w:rsid w:val="008267F9"/>
    <w:rsid w:val="00827668"/>
    <w:rsid w:val="0082791D"/>
    <w:rsid w:val="0083022F"/>
    <w:rsid w:val="00830D7C"/>
    <w:rsid w:val="00835A81"/>
    <w:rsid w:val="00840622"/>
    <w:rsid w:val="00842A2E"/>
    <w:rsid w:val="00844463"/>
    <w:rsid w:val="008459C3"/>
    <w:rsid w:val="008545B5"/>
    <w:rsid w:val="00857872"/>
    <w:rsid w:val="00861E73"/>
    <w:rsid w:val="0086298D"/>
    <w:rsid w:val="008637D4"/>
    <w:rsid w:val="008771F4"/>
    <w:rsid w:val="00877794"/>
    <w:rsid w:val="008819DD"/>
    <w:rsid w:val="00885CB2"/>
    <w:rsid w:val="00885F52"/>
    <w:rsid w:val="008A667E"/>
    <w:rsid w:val="008B1550"/>
    <w:rsid w:val="008B23EF"/>
    <w:rsid w:val="008B4586"/>
    <w:rsid w:val="008C100D"/>
    <w:rsid w:val="008D0FDA"/>
    <w:rsid w:val="008D5A9D"/>
    <w:rsid w:val="008E0BE1"/>
    <w:rsid w:val="008E307D"/>
    <w:rsid w:val="008E5859"/>
    <w:rsid w:val="008E5CCD"/>
    <w:rsid w:val="008F1E13"/>
    <w:rsid w:val="008F3D11"/>
    <w:rsid w:val="008F48F1"/>
    <w:rsid w:val="009014A8"/>
    <w:rsid w:val="00903E0C"/>
    <w:rsid w:val="00903FFE"/>
    <w:rsid w:val="009059E4"/>
    <w:rsid w:val="0091137B"/>
    <w:rsid w:val="009129C6"/>
    <w:rsid w:val="009137A1"/>
    <w:rsid w:val="009146F9"/>
    <w:rsid w:val="00914AA3"/>
    <w:rsid w:val="0091618B"/>
    <w:rsid w:val="0092134D"/>
    <w:rsid w:val="009219B8"/>
    <w:rsid w:val="00923907"/>
    <w:rsid w:val="00935895"/>
    <w:rsid w:val="009358A9"/>
    <w:rsid w:val="00937009"/>
    <w:rsid w:val="00937D28"/>
    <w:rsid w:val="00941EFF"/>
    <w:rsid w:val="00941F1A"/>
    <w:rsid w:val="009424A6"/>
    <w:rsid w:val="00946A79"/>
    <w:rsid w:val="00952BA4"/>
    <w:rsid w:val="009548C8"/>
    <w:rsid w:val="009548C9"/>
    <w:rsid w:val="00955632"/>
    <w:rsid w:val="00955FF6"/>
    <w:rsid w:val="00957D1F"/>
    <w:rsid w:val="0096312A"/>
    <w:rsid w:val="009635FA"/>
    <w:rsid w:val="009656D2"/>
    <w:rsid w:val="009660F5"/>
    <w:rsid w:val="009679E8"/>
    <w:rsid w:val="00980F0C"/>
    <w:rsid w:val="00992952"/>
    <w:rsid w:val="009A027F"/>
    <w:rsid w:val="009A3A85"/>
    <w:rsid w:val="009A49E4"/>
    <w:rsid w:val="009A6B9F"/>
    <w:rsid w:val="009A6DDF"/>
    <w:rsid w:val="009B02C9"/>
    <w:rsid w:val="009B2D45"/>
    <w:rsid w:val="009B473B"/>
    <w:rsid w:val="009B680D"/>
    <w:rsid w:val="009B7845"/>
    <w:rsid w:val="009C15D8"/>
    <w:rsid w:val="009C7239"/>
    <w:rsid w:val="009D3989"/>
    <w:rsid w:val="009D609E"/>
    <w:rsid w:val="009D7E62"/>
    <w:rsid w:val="009E3422"/>
    <w:rsid w:val="009E49A0"/>
    <w:rsid w:val="009E4D7B"/>
    <w:rsid w:val="009F13A7"/>
    <w:rsid w:val="009F2341"/>
    <w:rsid w:val="009F2669"/>
    <w:rsid w:val="009F378D"/>
    <w:rsid w:val="009F48FE"/>
    <w:rsid w:val="00A051F5"/>
    <w:rsid w:val="00A05342"/>
    <w:rsid w:val="00A15B29"/>
    <w:rsid w:val="00A172B2"/>
    <w:rsid w:val="00A178BE"/>
    <w:rsid w:val="00A24A31"/>
    <w:rsid w:val="00A26C10"/>
    <w:rsid w:val="00A30B12"/>
    <w:rsid w:val="00A30D33"/>
    <w:rsid w:val="00A31B14"/>
    <w:rsid w:val="00A31C14"/>
    <w:rsid w:val="00A34224"/>
    <w:rsid w:val="00A342A1"/>
    <w:rsid w:val="00A355FB"/>
    <w:rsid w:val="00A3757A"/>
    <w:rsid w:val="00A4715A"/>
    <w:rsid w:val="00A61424"/>
    <w:rsid w:val="00A62907"/>
    <w:rsid w:val="00A65468"/>
    <w:rsid w:val="00A65F24"/>
    <w:rsid w:val="00A66052"/>
    <w:rsid w:val="00A84763"/>
    <w:rsid w:val="00A9103F"/>
    <w:rsid w:val="00A91851"/>
    <w:rsid w:val="00A91B53"/>
    <w:rsid w:val="00A929B3"/>
    <w:rsid w:val="00A96282"/>
    <w:rsid w:val="00AA0ADB"/>
    <w:rsid w:val="00AA1B36"/>
    <w:rsid w:val="00AA28B4"/>
    <w:rsid w:val="00AA62EF"/>
    <w:rsid w:val="00AA68DC"/>
    <w:rsid w:val="00AA6E00"/>
    <w:rsid w:val="00AA7334"/>
    <w:rsid w:val="00AB00DD"/>
    <w:rsid w:val="00AB2580"/>
    <w:rsid w:val="00AB4CA5"/>
    <w:rsid w:val="00AB5E63"/>
    <w:rsid w:val="00AE082C"/>
    <w:rsid w:val="00AE0FEB"/>
    <w:rsid w:val="00AE11DA"/>
    <w:rsid w:val="00AE19E1"/>
    <w:rsid w:val="00AE1DB6"/>
    <w:rsid w:val="00AE2277"/>
    <w:rsid w:val="00AE639B"/>
    <w:rsid w:val="00AE7D2C"/>
    <w:rsid w:val="00AF06F1"/>
    <w:rsid w:val="00AF1F51"/>
    <w:rsid w:val="00AF2E29"/>
    <w:rsid w:val="00AF3CFC"/>
    <w:rsid w:val="00AF478B"/>
    <w:rsid w:val="00AF611B"/>
    <w:rsid w:val="00AF7EB6"/>
    <w:rsid w:val="00B00CA4"/>
    <w:rsid w:val="00B012D0"/>
    <w:rsid w:val="00B04AB7"/>
    <w:rsid w:val="00B05B2B"/>
    <w:rsid w:val="00B14C55"/>
    <w:rsid w:val="00B15D4C"/>
    <w:rsid w:val="00B249D2"/>
    <w:rsid w:val="00B32AEC"/>
    <w:rsid w:val="00B33CD0"/>
    <w:rsid w:val="00B523E4"/>
    <w:rsid w:val="00B53CB5"/>
    <w:rsid w:val="00B5666B"/>
    <w:rsid w:val="00B57C30"/>
    <w:rsid w:val="00B620E3"/>
    <w:rsid w:val="00B62182"/>
    <w:rsid w:val="00B63BED"/>
    <w:rsid w:val="00B65768"/>
    <w:rsid w:val="00B67395"/>
    <w:rsid w:val="00B67ED4"/>
    <w:rsid w:val="00B756A6"/>
    <w:rsid w:val="00B77D29"/>
    <w:rsid w:val="00B87970"/>
    <w:rsid w:val="00B91126"/>
    <w:rsid w:val="00B916AE"/>
    <w:rsid w:val="00B91722"/>
    <w:rsid w:val="00B920CD"/>
    <w:rsid w:val="00B941FD"/>
    <w:rsid w:val="00B97FFB"/>
    <w:rsid w:val="00BA2D16"/>
    <w:rsid w:val="00BC1EEB"/>
    <w:rsid w:val="00BC6677"/>
    <w:rsid w:val="00BC6875"/>
    <w:rsid w:val="00BC728C"/>
    <w:rsid w:val="00BD2CF6"/>
    <w:rsid w:val="00BD36A1"/>
    <w:rsid w:val="00BD58B9"/>
    <w:rsid w:val="00BE792C"/>
    <w:rsid w:val="00BF067A"/>
    <w:rsid w:val="00BF10EA"/>
    <w:rsid w:val="00C00130"/>
    <w:rsid w:val="00C008A3"/>
    <w:rsid w:val="00C011FD"/>
    <w:rsid w:val="00C03636"/>
    <w:rsid w:val="00C044BF"/>
    <w:rsid w:val="00C25502"/>
    <w:rsid w:val="00C4236E"/>
    <w:rsid w:val="00C43B2C"/>
    <w:rsid w:val="00C507C0"/>
    <w:rsid w:val="00C52B5F"/>
    <w:rsid w:val="00C5346F"/>
    <w:rsid w:val="00C57362"/>
    <w:rsid w:val="00C630FE"/>
    <w:rsid w:val="00C63A1D"/>
    <w:rsid w:val="00C63E8E"/>
    <w:rsid w:val="00C64B3D"/>
    <w:rsid w:val="00C67FA0"/>
    <w:rsid w:val="00C77D09"/>
    <w:rsid w:val="00C809F3"/>
    <w:rsid w:val="00C812F5"/>
    <w:rsid w:val="00C81F4C"/>
    <w:rsid w:val="00C82117"/>
    <w:rsid w:val="00C828A2"/>
    <w:rsid w:val="00C843C3"/>
    <w:rsid w:val="00C85258"/>
    <w:rsid w:val="00C853EB"/>
    <w:rsid w:val="00C876E7"/>
    <w:rsid w:val="00C87806"/>
    <w:rsid w:val="00C9172A"/>
    <w:rsid w:val="00C91F75"/>
    <w:rsid w:val="00C94C2C"/>
    <w:rsid w:val="00CA32CA"/>
    <w:rsid w:val="00CA3BF9"/>
    <w:rsid w:val="00CA6197"/>
    <w:rsid w:val="00CA71F1"/>
    <w:rsid w:val="00CB164E"/>
    <w:rsid w:val="00CC0164"/>
    <w:rsid w:val="00CC369E"/>
    <w:rsid w:val="00CC4672"/>
    <w:rsid w:val="00CC674A"/>
    <w:rsid w:val="00CD1578"/>
    <w:rsid w:val="00CD2B29"/>
    <w:rsid w:val="00CD3290"/>
    <w:rsid w:val="00CD411E"/>
    <w:rsid w:val="00CD710D"/>
    <w:rsid w:val="00CE3D25"/>
    <w:rsid w:val="00CE4860"/>
    <w:rsid w:val="00CE6BE4"/>
    <w:rsid w:val="00CF050F"/>
    <w:rsid w:val="00CF2172"/>
    <w:rsid w:val="00D014D0"/>
    <w:rsid w:val="00D0178A"/>
    <w:rsid w:val="00D0416A"/>
    <w:rsid w:val="00D04288"/>
    <w:rsid w:val="00D10F0C"/>
    <w:rsid w:val="00D12394"/>
    <w:rsid w:val="00D13C55"/>
    <w:rsid w:val="00D15830"/>
    <w:rsid w:val="00D165A2"/>
    <w:rsid w:val="00D169CB"/>
    <w:rsid w:val="00D17CF0"/>
    <w:rsid w:val="00D2130D"/>
    <w:rsid w:val="00D25AD8"/>
    <w:rsid w:val="00D273DF"/>
    <w:rsid w:val="00D30CAF"/>
    <w:rsid w:val="00D32F11"/>
    <w:rsid w:val="00D36189"/>
    <w:rsid w:val="00D43E55"/>
    <w:rsid w:val="00D44C0D"/>
    <w:rsid w:val="00D47ECA"/>
    <w:rsid w:val="00D50705"/>
    <w:rsid w:val="00D50866"/>
    <w:rsid w:val="00D53119"/>
    <w:rsid w:val="00D54402"/>
    <w:rsid w:val="00D555C1"/>
    <w:rsid w:val="00D573D4"/>
    <w:rsid w:val="00D631C0"/>
    <w:rsid w:val="00D67CD2"/>
    <w:rsid w:val="00D7398B"/>
    <w:rsid w:val="00D73E47"/>
    <w:rsid w:val="00D92DD8"/>
    <w:rsid w:val="00D941AF"/>
    <w:rsid w:val="00DA00EF"/>
    <w:rsid w:val="00DA3F1A"/>
    <w:rsid w:val="00DA5025"/>
    <w:rsid w:val="00DA516B"/>
    <w:rsid w:val="00DA7EFC"/>
    <w:rsid w:val="00DB47CD"/>
    <w:rsid w:val="00DB4EBD"/>
    <w:rsid w:val="00DB588A"/>
    <w:rsid w:val="00DB60A9"/>
    <w:rsid w:val="00DC32B1"/>
    <w:rsid w:val="00DE0476"/>
    <w:rsid w:val="00DE0934"/>
    <w:rsid w:val="00DE3905"/>
    <w:rsid w:val="00DE55D7"/>
    <w:rsid w:val="00DE72E8"/>
    <w:rsid w:val="00DF1B0A"/>
    <w:rsid w:val="00DF3E98"/>
    <w:rsid w:val="00E0100A"/>
    <w:rsid w:val="00E0719C"/>
    <w:rsid w:val="00E15004"/>
    <w:rsid w:val="00E16348"/>
    <w:rsid w:val="00E1737A"/>
    <w:rsid w:val="00E20589"/>
    <w:rsid w:val="00E2334E"/>
    <w:rsid w:val="00E23462"/>
    <w:rsid w:val="00E25459"/>
    <w:rsid w:val="00E46688"/>
    <w:rsid w:val="00E47326"/>
    <w:rsid w:val="00E51A11"/>
    <w:rsid w:val="00E51A47"/>
    <w:rsid w:val="00E531BD"/>
    <w:rsid w:val="00E57E0E"/>
    <w:rsid w:val="00E6052D"/>
    <w:rsid w:val="00E65068"/>
    <w:rsid w:val="00E65073"/>
    <w:rsid w:val="00E66057"/>
    <w:rsid w:val="00E6644A"/>
    <w:rsid w:val="00E70DF5"/>
    <w:rsid w:val="00E8662E"/>
    <w:rsid w:val="00E9655F"/>
    <w:rsid w:val="00EA0EC2"/>
    <w:rsid w:val="00EB700C"/>
    <w:rsid w:val="00EC2887"/>
    <w:rsid w:val="00EC7488"/>
    <w:rsid w:val="00ED4558"/>
    <w:rsid w:val="00ED5129"/>
    <w:rsid w:val="00ED73F4"/>
    <w:rsid w:val="00ED7BF6"/>
    <w:rsid w:val="00EE6473"/>
    <w:rsid w:val="00EE771E"/>
    <w:rsid w:val="00EF4A49"/>
    <w:rsid w:val="00EF6E1F"/>
    <w:rsid w:val="00EF701F"/>
    <w:rsid w:val="00F00B66"/>
    <w:rsid w:val="00F04846"/>
    <w:rsid w:val="00F05CB8"/>
    <w:rsid w:val="00F072CD"/>
    <w:rsid w:val="00F15583"/>
    <w:rsid w:val="00F20198"/>
    <w:rsid w:val="00F2065A"/>
    <w:rsid w:val="00F246D6"/>
    <w:rsid w:val="00F31062"/>
    <w:rsid w:val="00F34128"/>
    <w:rsid w:val="00F348E9"/>
    <w:rsid w:val="00F3541B"/>
    <w:rsid w:val="00F371B7"/>
    <w:rsid w:val="00F37787"/>
    <w:rsid w:val="00F4616D"/>
    <w:rsid w:val="00F47779"/>
    <w:rsid w:val="00F50A35"/>
    <w:rsid w:val="00F50B95"/>
    <w:rsid w:val="00F51F3D"/>
    <w:rsid w:val="00F5513A"/>
    <w:rsid w:val="00F56F4B"/>
    <w:rsid w:val="00F6290D"/>
    <w:rsid w:val="00F63EEE"/>
    <w:rsid w:val="00F8076C"/>
    <w:rsid w:val="00F8417E"/>
    <w:rsid w:val="00F84715"/>
    <w:rsid w:val="00F87099"/>
    <w:rsid w:val="00F90356"/>
    <w:rsid w:val="00F90D5D"/>
    <w:rsid w:val="00F94950"/>
    <w:rsid w:val="00F94F3C"/>
    <w:rsid w:val="00FA0E3C"/>
    <w:rsid w:val="00FA1C4C"/>
    <w:rsid w:val="00FA6DFD"/>
    <w:rsid w:val="00FA71E0"/>
    <w:rsid w:val="00FB026E"/>
    <w:rsid w:val="00FB03B3"/>
    <w:rsid w:val="00FB19E6"/>
    <w:rsid w:val="00FB37D6"/>
    <w:rsid w:val="00FB4574"/>
    <w:rsid w:val="00FB46F8"/>
    <w:rsid w:val="00FB5667"/>
    <w:rsid w:val="00FB603E"/>
    <w:rsid w:val="00FB7B9B"/>
    <w:rsid w:val="00FC2D14"/>
    <w:rsid w:val="00FC6A7A"/>
    <w:rsid w:val="00FC6BC0"/>
    <w:rsid w:val="00FE176D"/>
    <w:rsid w:val="00FF46B0"/>
    <w:rsid w:val="00FF5BF9"/>
    <w:rsid w:val="00FF7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FC1046-43C7-480C-8321-9E4E0151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97"/>
    <w:rPr>
      <w:rFonts w:eastAsia="Calibri" w:cs="Times New Roman"/>
      <w:bCs/>
      <w:szCs w:val="26"/>
    </w:rPr>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cstheme="minorBidi"/>
      <w:b/>
      <w:sz w:val="36"/>
      <w:szCs w:val="28"/>
    </w:rPr>
  </w:style>
  <w:style w:type="paragraph" w:styleId="Rubrik2">
    <w:name w:val="heading 2"/>
    <w:basedOn w:val="Normal"/>
    <w:next w:val="Normal"/>
    <w:link w:val="Rubrik2Char"/>
    <w:uiPriority w:val="9"/>
    <w:unhideWhenUsed/>
    <w:qFormat/>
    <w:rsid w:val="006B0CFF"/>
    <w:pPr>
      <w:keepNext/>
      <w:keepLines/>
      <w:outlineLvl w:val="1"/>
    </w:pPr>
    <w:rPr>
      <w:rFonts w:eastAsiaTheme="majorEastAsia" w:cstheme="majorBidi"/>
      <w:b/>
      <w:sz w:val="32"/>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B0CFF"/>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5352AB"/>
    <w:pPr>
      <w:tabs>
        <w:tab w:val="center" w:pos="4536"/>
        <w:tab w:val="right" w:pos="9072"/>
      </w:tabs>
    </w:pPr>
    <w:rPr>
      <w:rFonts w:eastAsiaTheme="minorHAnsi" w:cstheme="minorBidi"/>
      <w:bCs w:val="0"/>
      <w:szCs w:val="22"/>
    </w:rPr>
  </w:style>
  <w:style w:type="character" w:customStyle="1" w:styleId="SidhuvudChar">
    <w:name w:val="Sidhuvud Char"/>
    <w:basedOn w:val="Standardstycketeckensnitt"/>
    <w:link w:val="Sidhuvud"/>
    <w:uiPriority w:val="99"/>
    <w:rsid w:val="005352AB"/>
  </w:style>
  <w:style w:type="paragraph" w:styleId="Sidfot">
    <w:name w:val="footer"/>
    <w:basedOn w:val="Normal"/>
    <w:link w:val="SidfotChar"/>
    <w:uiPriority w:val="99"/>
    <w:unhideWhenUsed/>
    <w:rsid w:val="005352AB"/>
    <w:pPr>
      <w:tabs>
        <w:tab w:val="center" w:pos="4536"/>
        <w:tab w:val="right" w:pos="9072"/>
      </w:tabs>
    </w:pPr>
    <w:rPr>
      <w:rFonts w:eastAsiaTheme="minorHAnsi" w:cstheme="minorBidi"/>
      <w:bCs w:val="0"/>
      <w:szCs w:val="22"/>
    </w:rPr>
  </w:style>
  <w:style w:type="character" w:customStyle="1" w:styleId="SidfotChar">
    <w:name w:val="Sidfot Char"/>
    <w:basedOn w:val="Standardstycketeckensnitt"/>
    <w:link w:val="Sidfot"/>
    <w:uiPriority w:val="99"/>
    <w:rsid w:val="005352AB"/>
  </w:style>
  <w:style w:type="paragraph" w:styleId="Fotnotstext">
    <w:name w:val="footnote text"/>
    <w:basedOn w:val="Normal"/>
    <w:link w:val="FotnotstextChar"/>
    <w:uiPriority w:val="99"/>
    <w:semiHidden/>
    <w:unhideWhenUsed/>
    <w:rsid w:val="004F2401"/>
    <w:rPr>
      <w:sz w:val="20"/>
      <w:szCs w:val="20"/>
    </w:rPr>
  </w:style>
  <w:style w:type="character" w:customStyle="1" w:styleId="FotnotstextChar">
    <w:name w:val="Fotnotstext Char"/>
    <w:basedOn w:val="Standardstycketeckensnitt"/>
    <w:link w:val="Fotnotstext"/>
    <w:uiPriority w:val="99"/>
    <w:semiHidden/>
    <w:rsid w:val="004F2401"/>
    <w:rPr>
      <w:rFonts w:eastAsia="Calibri" w:cs="Times New Roman"/>
      <w:bCs/>
      <w:sz w:val="20"/>
      <w:szCs w:val="20"/>
    </w:rPr>
  </w:style>
  <w:style w:type="character" w:styleId="Fotnotsreferens">
    <w:name w:val="footnote reference"/>
    <w:basedOn w:val="Standardstycketeckensnitt"/>
    <w:uiPriority w:val="99"/>
    <w:semiHidden/>
    <w:unhideWhenUsed/>
    <w:rsid w:val="004F2401"/>
    <w:rPr>
      <w:vertAlign w:val="superscript"/>
    </w:rPr>
  </w:style>
  <w:style w:type="paragraph" w:styleId="Ballongtext">
    <w:name w:val="Balloon Text"/>
    <w:basedOn w:val="Normal"/>
    <w:link w:val="BallongtextChar"/>
    <w:uiPriority w:val="99"/>
    <w:semiHidden/>
    <w:unhideWhenUsed/>
    <w:rsid w:val="00C85258"/>
    <w:rPr>
      <w:rFonts w:ascii="Tahoma" w:hAnsi="Tahoma" w:cs="Tahoma"/>
      <w:sz w:val="16"/>
      <w:szCs w:val="16"/>
    </w:rPr>
  </w:style>
  <w:style w:type="character" w:customStyle="1" w:styleId="BallongtextChar">
    <w:name w:val="Ballongtext Char"/>
    <w:basedOn w:val="Standardstycketeckensnitt"/>
    <w:link w:val="Ballongtext"/>
    <w:uiPriority w:val="99"/>
    <w:semiHidden/>
    <w:rsid w:val="00C85258"/>
    <w:rPr>
      <w:rFonts w:ascii="Tahoma" w:eastAsia="Calibri" w:hAnsi="Tahoma" w:cs="Tahoma"/>
      <w:bCs/>
      <w:sz w:val="16"/>
      <w:szCs w:val="16"/>
    </w:rPr>
  </w:style>
  <w:style w:type="paragraph" w:styleId="Innehll1">
    <w:name w:val="toc 1"/>
    <w:basedOn w:val="Normal"/>
    <w:next w:val="Normal"/>
    <w:autoRedefine/>
    <w:uiPriority w:val="39"/>
    <w:unhideWhenUsed/>
    <w:rsid w:val="00246A14"/>
    <w:pPr>
      <w:spacing w:after="100"/>
    </w:pPr>
  </w:style>
  <w:style w:type="paragraph" w:styleId="Innehll2">
    <w:name w:val="toc 2"/>
    <w:basedOn w:val="Normal"/>
    <w:next w:val="Normal"/>
    <w:autoRedefine/>
    <w:uiPriority w:val="39"/>
    <w:unhideWhenUsed/>
    <w:rsid w:val="00246A14"/>
    <w:pPr>
      <w:spacing w:after="100"/>
      <w:ind w:left="280"/>
    </w:pPr>
  </w:style>
  <w:style w:type="character" w:styleId="Hyperlnk">
    <w:name w:val="Hyperlink"/>
    <w:basedOn w:val="Standardstycketeckensnitt"/>
    <w:uiPriority w:val="99"/>
    <w:unhideWhenUsed/>
    <w:rsid w:val="00246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86913">
      <w:bodyDiv w:val="1"/>
      <w:marLeft w:val="0"/>
      <w:marRight w:val="0"/>
      <w:marTop w:val="0"/>
      <w:marBottom w:val="0"/>
      <w:divBdr>
        <w:top w:val="none" w:sz="0" w:space="0" w:color="auto"/>
        <w:left w:val="none" w:sz="0" w:space="0" w:color="auto"/>
        <w:bottom w:val="none" w:sz="0" w:space="0" w:color="auto"/>
        <w:right w:val="none" w:sz="0" w:space="0" w:color="auto"/>
      </w:divBdr>
    </w:div>
    <w:div w:id="898784762">
      <w:bodyDiv w:val="1"/>
      <w:marLeft w:val="0"/>
      <w:marRight w:val="0"/>
      <w:marTop w:val="0"/>
      <w:marBottom w:val="0"/>
      <w:divBdr>
        <w:top w:val="none" w:sz="0" w:space="0" w:color="auto"/>
        <w:left w:val="none" w:sz="0" w:space="0" w:color="auto"/>
        <w:bottom w:val="none" w:sz="0" w:space="0" w:color="auto"/>
        <w:right w:val="none" w:sz="0" w:space="0" w:color="auto"/>
      </w:divBdr>
    </w:div>
    <w:div w:id="1430420472">
      <w:bodyDiv w:val="1"/>
      <w:marLeft w:val="0"/>
      <w:marRight w:val="0"/>
      <w:marTop w:val="0"/>
      <w:marBottom w:val="0"/>
      <w:divBdr>
        <w:top w:val="none" w:sz="0" w:space="0" w:color="auto"/>
        <w:left w:val="none" w:sz="0" w:space="0" w:color="auto"/>
        <w:bottom w:val="none" w:sz="0" w:space="0" w:color="auto"/>
        <w:right w:val="none" w:sz="0" w:space="0" w:color="auto"/>
      </w:divBdr>
    </w:div>
    <w:div w:id="15385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9F36.000711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D1E3-5109-4422-BED0-A8951EBA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1845</Words>
  <Characters>9780</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Götesson</dc:creator>
  <cp:lastModifiedBy>Åsa Nilsson</cp:lastModifiedBy>
  <cp:revision>6</cp:revision>
  <dcterms:created xsi:type="dcterms:W3CDTF">2018-02-06T08:41:00Z</dcterms:created>
  <dcterms:modified xsi:type="dcterms:W3CDTF">2018-11-16T11:47:00Z</dcterms:modified>
</cp:coreProperties>
</file>